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42B" w:rsidRPr="00FB73DD" w:rsidRDefault="0056542B">
      <w:pPr>
        <w:rPr>
          <w:b/>
        </w:rPr>
      </w:pPr>
      <w:r w:rsidRPr="00FB73DD">
        <w:rPr>
          <w:b/>
        </w:rPr>
        <w:t>Ergebnisse</w:t>
      </w:r>
    </w:p>
    <w:p w:rsidR="00D97716" w:rsidRDefault="00D97716"/>
    <w:p w:rsidR="0056542B" w:rsidRPr="00FB73DD" w:rsidRDefault="00D97716">
      <w:pPr>
        <w:rPr>
          <w:b/>
        </w:rPr>
      </w:pPr>
      <w:r w:rsidRPr="00FB73DD">
        <w:rPr>
          <w:b/>
        </w:rPr>
        <w:t>Deskriptive Gruppenanalyse</w:t>
      </w:r>
    </w:p>
    <w:p w:rsidR="00D97716" w:rsidRPr="00FB73DD" w:rsidRDefault="00D97716">
      <w:pPr>
        <w:rPr>
          <w:b/>
        </w:rPr>
      </w:pPr>
    </w:p>
    <w:p w:rsidR="00E94904" w:rsidRDefault="00E94904">
      <w:r>
        <w:t>Insgesamt nahmen 22 Patientinnen an der Studie teil,im Alter zwischen 43 und 84 Jahren.</w:t>
      </w:r>
    </w:p>
    <w:p w:rsidR="005A14D5" w:rsidRDefault="00E94904" w:rsidP="00E94904">
      <w:pPr>
        <w:pStyle w:val="Aufzhlungszeichen"/>
        <w:numPr>
          <w:ilvl w:val="0"/>
          <w:numId w:val="0"/>
        </w:numPr>
      </w:pPr>
      <w:r>
        <w:t xml:space="preserve">Der Gesamtaltersdurchschnitt betrug 65,9 Jahre,wobei der Altersdurchschnitt der Lymphdrainagegruppe 63,9 Jahre,der Altersdurchschnitt der Osteopathiegruppe 67,8 Jahre </w:t>
      </w:r>
    </w:p>
    <w:p w:rsidR="00E94904" w:rsidRDefault="00E94904" w:rsidP="00E94904">
      <w:pPr>
        <w:pStyle w:val="Aufzhlungszeichen"/>
        <w:numPr>
          <w:ilvl w:val="0"/>
          <w:numId w:val="0"/>
        </w:numPr>
      </w:pPr>
      <w:r>
        <w:t>betrug.</w:t>
      </w:r>
    </w:p>
    <w:p w:rsidR="00E94904" w:rsidRDefault="00E94904" w:rsidP="00E94904">
      <w:pPr>
        <w:pStyle w:val="Aufzhlungszeichen"/>
        <w:numPr>
          <w:ilvl w:val="0"/>
          <w:numId w:val="0"/>
        </w:numPr>
      </w:pPr>
      <w:r>
        <w:t>Im Seitenvergleich der betroffenen Arme ist der rechte Arm mit dem Verhältnis 13-9 häufiger betroffen.</w:t>
      </w:r>
    </w:p>
    <w:p w:rsidR="00E94904" w:rsidRDefault="00E94904" w:rsidP="00E94904">
      <w:pPr>
        <w:pStyle w:val="Aufzhlungszeichen"/>
        <w:numPr>
          <w:ilvl w:val="0"/>
          <w:numId w:val="0"/>
        </w:numPr>
      </w:pPr>
      <w:r>
        <w:t>In der Lymphdrainagegruppe beträgt das Verhältnis Rechts zu Links 5-6,in der Osteopathiegruppe ist das Verhältnis Rechts zu Links 8-3</w:t>
      </w:r>
      <w:r w:rsidR="00D97716">
        <w:t>.</w:t>
      </w:r>
    </w:p>
    <w:p w:rsidR="00D97716" w:rsidRDefault="00D97716" w:rsidP="00E94904">
      <w:pPr>
        <w:pStyle w:val="Aufzhlungszeichen"/>
        <w:numPr>
          <w:ilvl w:val="0"/>
          <w:numId w:val="0"/>
        </w:numPr>
      </w:pPr>
    </w:p>
    <w:p w:rsidR="00D97716" w:rsidRPr="00FB73DD" w:rsidRDefault="00D97716" w:rsidP="00E94904">
      <w:pPr>
        <w:pStyle w:val="Aufzhlungszeichen"/>
        <w:numPr>
          <w:ilvl w:val="0"/>
          <w:numId w:val="0"/>
        </w:numPr>
        <w:rPr>
          <w:b/>
        </w:rPr>
      </w:pPr>
      <w:r w:rsidRPr="00FB73DD">
        <w:rPr>
          <w:b/>
        </w:rPr>
        <w:t>Ergebnisse der Mittelwertsanalyse</w:t>
      </w:r>
    </w:p>
    <w:p w:rsidR="003A49DF" w:rsidRDefault="003A49DF" w:rsidP="00E94904">
      <w:pPr>
        <w:pStyle w:val="Aufzhlungszeichen"/>
        <w:numPr>
          <w:ilvl w:val="0"/>
          <w:numId w:val="0"/>
        </w:numPr>
      </w:pPr>
    </w:p>
    <w:p w:rsidR="003A49DF" w:rsidRPr="00FB73DD" w:rsidRDefault="003A49DF" w:rsidP="00E94904">
      <w:pPr>
        <w:pStyle w:val="Aufzhlungszeichen"/>
        <w:numPr>
          <w:ilvl w:val="0"/>
          <w:numId w:val="0"/>
        </w:numPr>
        <w:rPr>
          <w:b/>
        </w:rPr>
      </w:pPr>
      <w:r w:rsidRPr="00FB73DD">
        <w:rPr>
          <w:b/>
        </w:rPr>
        <w:t>Vergleich der Gesamtmittelwerte:</w:t>
      </w:r>
    </w:p>
    <w:p w:rsidR="00D97716" w:rsidRDefault="00D97716" w:rsidP="00E94904">
      <w:pPr>
        <w:pStyle w:val="Aufzhlungszeichen"/>
        <w:numPr>
          <w:ilvl w:val="0"/>
          <w:numId w:val="0"/>
        </w:numPr>
      </w:pPr>
    </w:p>
    <w:p w:rsidR="00D97716" w:rsidRDefault="00791E95" w:rsidP="00E94904">
      <w:pPr>
        <w:pStyle w:val="Aufzhlungszeichen"/>
        <w:numPr>
          <w:ilvl w:val="0"/>
          <w:numId w:val="0"/>
        </w:numPr>
      </w:pPr>
      <w:r>
        <w:rPr>
          <w:noProof/>
        </w:rPr>
        <w:drawing>
          <wp:inline distT="0" distB="0" distL="0" distR="0">
            <wp:extent cx="4559300" cy="2717800"/>
            <wp:effectExtent l="25400" t="0" r="0" b="0"/>
            <wp:docPr id="2" name="Bild 2" descr="gesamtmittelw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samtmittelwerte"/>
                    <pic:cNvPicPr>
                      <a:picLocks noChangeAspect="1" noChangeArrowheads="1"/>
                    </pic:cNvPicPr>
                  </pic:nvPicPr>
                  <pic:blipFill>
                    <a:blip r:embed="rId5"/>
                    <a:srcRect/>
                    <a:stretch>
                      <a:fillRect/>
                    </a:stretch>
                  </pic:blipFill>
                  <pic:spPr bwMode="auto">
                    <a:xfrm>
                      <a:off x="0" y="0"/>
                      <a:ext cx="4559300" cy="2717800"/>
                    </a:xfrm>
                    <a:prstGeom prst="rect">
                      <a:avLst/>
                    </a:prstGeom>
                    <a:noFill/>
                    <a:ln w="9525">
                      <a:noFill/>
                      <a:miter lim="800000"/>
                      <a:headEnd/>
                      <a:tailEnd/>
                    </a:ln>
                  </pic:spPr>
                </pic:pic>
              </a:graphicData>
            </a:graphic>
          </wp:inline>
        </w:drawing>
      </w:r>
    </w:p>
    <w:p w:rsidR="003A49DF" w:rsidRDefault="003A49DF" w:rsidP="00E94904">
      <w:pPr>
        <w:pStyle w:val="Aufzhlungszeichen"/>
        <w:numPr>
          <w:ilvl w:val="0"/>
          <w:numId w:val="0"/>
        </w:numPr>
      </w:pPr>
      <w:r>
        <w:t>Die Grafik zeigt eine deutlich gesteigerte Enstauungsleistung bei der osteopathisch behandelten Gruppe.</w:t>
      </w:r>
    </w:p>
    <w:p w:rsidR="003A49DF" w:rsidRDefault="003A49DF" w:rsidP="00E94904">
      <w:pPr>
        <w:pStyle w:val="Aufzhlungszeichen"/>
        <w:numPr>
          <w:ilvl w:val="0"/>
          <w:numId w:val="0"/>
        </w:numPr>
      </w:pPr>
      <w:r>
        <w:t>Hierbei fällt auf,dass der grösste Fortschritt im Vergleich beider Gruppen während der ersten 5 Behandlungen stattfindet,danach laufen beide Linien annähernd im gleichen Abstand weiter.</w:t>
      </w:r>
    </w:p>
    <w:p w:rsidR="003A49DF" w:rsidRDefault="003A49DF" w:rsidP="00E94904">
      <w:pPr>
        <w:pStyle w:val="Aufzhlungszeichen"/>
        <w:numPr>
          <w:ilvl w:val="0"/>
          <w:numId w:val="0"/>
        </w:numPr>
      </w:pPr>
      <w:r>
        <w:t>Weiterhin auffällig ist die kurzfristige Verschlechterung bei beiden Gruppen nach der fünften Behandlung.</w:t>
      </w: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3A49DF" w:rsidRDefault="003A49DF" w:rsidP="00E94904">
      <w:pPr>
        <w:pStyle w:val="Aufzhlungszeichen"/>
        <w:numPr>
          <w:ilvl w:val="0"/>
          <w:numId w:val="0"/>
        </w:numPr>
      </w:pPr>
    </w:p>
    <w:p w:rsidR="003A49DF" w:rsidRPr="00FB73DD" w:rsidRDefault="003A49DF" w:rsidP="00E94904">
      <w:pPr>
        <w:pStyle w:val="Aufzhlungszeichen"/>
        <w:numPr>
          <w:ilvl w:val="0"/>
          <w:numId w:val="0"/>
        </w:numPr>
        <w:rPr>
          <w:b/>
        </w:rPr>
      </w:pPr>
      <w:r w:rsidRPr="00FB73DD">
        <w:rPr>
          <w:b/>
        </w:rPr>
        <w:t>Vergleich der Oberarmmittelwerte</w:t>
      </w:r>
      <w:r w:rsidR="00532DCC" w:rsidRPr="00FB73DD">
        <w:rPr>
          <w:b/>
        </w:rPr>
        <w:t>:</w:t>
      </w:r>
    </w:p>
    <w:p w:rsidR="003A49DF" w:rsidRDefault="003A49DF" w:rsidP="00E94904">
      <w:pPr>
        <w:pStyle w:val="Aufzhlungszeichen"/>
        <w:numPr>
          <w:ilvl w:val="0"/>
          <w:numId w:val="0"/>
        </w:numPr>
      </w:pPr>
    </w:p>
    <w:p w:rsidR="003A49DF" w:rsidRDefault="00791E95" w:rsidP="00E94904">
      <w:pPr>
        <w:pStyle w:val="Aufzhlungszeichen"/>
        <w:numPr>
          <w:ilvl w:val="0"/>
          <w:numId w:val="0"/>
        </w:numPr>
      </w:pPr>
      <w:r>
        <w:rPr>
          <w:noProof/>
        </w:rPr>
        <w:drawing>
          <wp:inline distT="0" distB="0" distL="0" distR="0">
            <wp:extent cx="4546600" cy="2717800"/>
            <wp:effectExtent l="25400" t="0" r="0" b="0"/>
            <wp:docPr id="3" name="Bild 3" descr="mittelwerteobe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ttelwerteoberarm"/>
                    <pic:cNvPicPr>
                      <a:picLocks noChangeAspect="1" noChangeArrowheads="1"/>
                    </pic:cNvPicPr>
                  </pic:nvPicPr>
                  <pic:blipFill>
                    <a:blip r:embed="rId6"/>
                    <a:srcRect/>
                    <a:stretch>
                      <a:fillRect/>
                    </a:stretch>
                  </pic:blipFill>
                  <pic:spPr bwMode="auto">
                    <a:xfrm>
                      <a:off x="0" y="0"/>
                      <a:ext cx="4546600" cy="2717800"/>
                    </a:xfrm>
                    <a:prstGeom prst="rect">
                      <a:avLst/>
                    </a:prstGeom>
                    <a:noFill/>
                    <a:ln w="9525">
                      <a:noFill/>
                      <a:miter lim="800000"/>
                      <a:headEnd/>
                      <a:tailEnd/>
                    </a:ln>
                  </pic:spPr>
                </pic:pic>
              </a:graphicData>
            </a:graphic>
          </wp:inline>
        </w:drawing>
      </w:r>
    </w:p>
    <w:p w:rsidR="00532DCC" w:rsidRDefault="00532DCC" w:rsidP="00E94904">
      <w:pPr>
        <w:pStyle w:val="Aufzhlungszeichen"/>
        <w:numPr>
          <w:ilvl w:val="0"/>
          <w:numId w:val="0"/>
        </w:numPr>
      </w:pPr>
      <w:r>
        <w:t>Beim Vergleich der Oberarmmittelwerte fällt der Vergleich noch deutlicher zu Gunsten der osteopatisch behandelten Gruppe aus.Hier berägt der Vorteil der Osteopathiegruppe ca.2% gegenüber der Lymphdrainagegruppe.</w:t>
      </w:r>
    </w:p>
    <w:p w:rsidR="00532DCC" w:rsidRDefault="00532DCC" w:rsidP="00E94904">
      <w:pPr>
        <w:pStyle w:val="Aufzhlungszeichen"/>
        <w:numPr>
          <w:ilvl w:val="0"/>
          <w:numId w:val="0"/>
        </w:numPr>
      </w:pPr>
      <w:r>
        <w:t>Der Abfall der Oberarmdicke ist bei beiden Gruppen relativ kontiunierlich,auffällig ist allenfalls die starke Abnahme der Oberarmdicke direkt am Anfang der Behandlungsserie.</w:t>
      </w:r>
    </w:p>
    <w:p w:rsidR="00532DCC" w:rsidRDefault="00532DCC" w:rsidP="00E94904">
      <w:pPr>
        <w:pStyle w:val="Aufzhlungszeichen"/>
        <w:numPr>
          <w:ilvl w:val="0"/>
          <w:numId w:val="0"/>
        </w:numPr>
      </w:pPr>
    </w:p>
    <w:p w:rsidR="00532DCC" w:rsidRPr="00FB73DD" w:rsidRDefault="00532DCC" w:rsidP="00E94904">
      <w:pPr>
        <w:pStyle w:val="Aufzhlungszeichen"/>
        <w:numPr>
          <w:ilvl w:val="0"/>
          <w:numId w:val="0"/>
        </w:numPr>
        <w:rPr>
          <w:b/>
        </w:rPr>
      </w:pPr>
      <w:r w:rsidRPr="00FB73DD">
        <w:rPr>
          <w:b/>
        </w:rPr>
        <w:t>Vergleich der Unterarmmittelwerte:</w:t>
      </w:r>
    </w:p>
    <w:p w:rsidR="00532DCC" w:rsidRDefault="00532DCC" w:rsidP="00E94904">
      <w:pPr>
        <w:pStyle w:val="Aufzhlungszeichen"/>
        <w:numPr>
          <w:ilvl w:val="0"/>
          <w:numId w:val="0"/>
        </w:numPr>
      </w:pPr>
    </w:p>
    <w:p w:rsidR="00532DCC" w:rsidRDefault="00791E95" w:rsidP="00E94904">
      <w:pPr>
        <w:pStyle w:val="Aufzhlungszeichen"/>
        <w:numPr>
          <w:ilvl w:val="0"/>
          <w:numId w:val="0"/>
        </w:numPr>
      </w:pPr>
      <w:r>
        <w:rPr>
          <w:noProof/>
        </w:rPr>
        <w:drawing>
          <wp:inline distT="0" distB="0" distL="0" distR="0">
            <wp:extent cx="4559300" cy="2717800"/>
            <wp:effectExtent l="25400" t="0" r="0" b="0"/>
            <wp:docPr id="1" name="Bild 1" descr="mittelwerteunte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ttelwerteunterarm"/>
                    <pic:cNvPicPr>
                      <a:picLocks noChangeAspect="1" noChangeArrowheads="1"/>
                    </pic:cNvPicPr>
                  </pic:nvPicPr>
                  <pic:blipFill>
                    <a:blip r:embed="rId7"/>
                    <a:srcRect/>
                    <a:stretch>
                      <a:fillRect/>
                    </a:stretch>
                  </pic:blipFill>
                  <pic:spPr bwMode="auto">
                    <a:xfrm>
                      <a:off x="0" y="0"/>
                      <a:ext cx="4559300" cy="2717800"/>
                    </a:xfrm>
                    <a:prstGeom prst="rect">
                      <a:avLst/>
                    </a:prstGeom>
                    <a:noFill/>
                    <a:ln w="9525">
                      <a:noFill/>
                      <a:miter lim="800000"/>
                      <a:headEnd/>
                      <a:tailEnd/>
                    </a:ln>
                  </pic:spPr>
                </pic:pic>
              </a:graphicData>
            </a:graphic>
          </wp:inline>
        </w:drawing>
      </w:r>
    </w:p>
    <w:p w:rsidR="00532DCC" w:rsidRDefault="00532DCC" w:rsidP="00E94904">
      <w:pPr>
        <w:pStyle w:val="Aufzhlungszeichen"/>
        <w:numPr>
          <w:ilvl w:val="0"/>
          <w:numId w:val="0"/>
        </w:numPr>
      </w:pPr>
      <w:r>
        <w:t>Die Unterarmmittelwertsverlaufskurve</w:t>
      </w:r>
      <w:r w:rsidR="002429BB">
        <w:t xml:space="preserve"> zeigt keinen grösseren Unterschied des Endergebnisses,jedoch deutlich unterschiedliche Verlaufskurven.Insbesondere von der 4. zur 6. Behandlung weichen die Kurvenverläufe deutlich voneinander ab.Während bei der Osteopathiegruppe nach der 4. Behandlung eine erhebliche Verringerung des Unterarmumfanges zubeobachten ist,die dann aber bis zur 7. Behandlung wieder nahezu ausgeglichen wird,ist bei der Lymphdrainagegruppe von der 4. zur 6. Behandlungseinheit eine deutliche Umfangzunahme zu beobachten,die aber dann zum Behandlungsende wieder abnimmt</w:t>
      </w:r>
      <w:r w:rsidR="00FB73DD">
        <w:t>.</w:t>
      </w:r>
    </w:p>
    <w:p w:rsidR="00FB73DD" w:rsidRDefault="00FB73DD" w:rsidP="00E94904">
      <w:pPr>
        <w:pStyle w:val="Aufzhlungszeichen"/>
        <w:numPr>
          <w:ilvl w:val="0"/>
          <w:numId w:val="0"/>
        </w:numPr>
      </w:pPr>
      <w:r>
        <w:t>Grundsätzlich fällt auf,dass die Umfangreduzierung des Unterarmes insgesamt geringer ausfällt als die des Oberarmes und dies bei beiden Gruppen,wobei der Unterschied zwischen Ober- und Unterarmergebnissen in der Osteopathiegruppe grösser ist.</w:t>
      </w:r>
    </w:p>
    <w:p w:rsidR="00FB73DD" w:rsidRPr="00FB73DD" w:rsidRDefault="00FB73DD" w:rsidP="00E94904">
      <w:pPr>
        <w:pStyle w:val="Aufzhlungszeichen"/>
        <w:numPr>
          <w:ilvl w:val="0"/>
          <w:numId w:val="0"/>
        </w:numPr>
        <w:rPr>
          <w:b/>
        </w:rPr>
      </w:pPr>
      <w:r w:rsidRPr="00FB73DD">
        <w:rPr>
          <w:b/>
        </w:rPr>
        <w:t>Vergleich der Mittelwerte ohne die 3 schlechtesten Ergebnisse:</w:t>
      </w:r>
    </w:p>
    <w:p w:rsidR="00FB73DD" w:rsidRDefault="00FB73DD" w:rsidP="00E94904">
      <w:pPr>
        <w:pStyle w:val="Aufzhlungszeichen"/>
        <w:numPr>
          <w:ilvl w:val="0"/>
          <w:numId w:val="0"/>
        </w:numPr>
      </w:pPr>
    </w:p>
    <w:p w:rsidR="00FB73DD" w:rsidRDefault="00FB73DD" w:rsidP="00E94904">
      <w:pPr>
        <w:pStyle w:val="Aufzhlungszeichen"/>
        <w:numPr>
          <w:ilvl w:val="0"/>
          <w:numId w:val="0"/>
        </w:numPr>
      </w:pPr>
      <w:r>
        <w:t>Um den Einfluss von negativen Ausreissern herauszufiltern wurden alle Mittelwerte ohne die 3 schlechtesten Ergebnisse nochmal berechnet</w:t>
      </w:r>
    </w:p>
    <w:p w:rsidR="00FB73DD" w:rsidRDefault="00FB73DD" w:rsidP="00E94904">
      <w:pPr>
        <w:pStyle w:val="Aufzhlungszeichen"/>
        <w:numPr>
          <w:ilvl w:val="0"/>
          <w:numId w:val="0"/>
        </w:numPr>
      </w:pPr>
    </w:p>
    <w:p w:rsidR="00FB73DD" w:rsidRPr="00FB73DD" w:rsidRDefault="001C15C7" w:rsidP="00E94904">
      <w:pPr>
        <w:pStyle w:val="Aufzhlungszeichen"/>
        <w:numPr>
          <w:ilvl w:val="0"/>
          <w:numId w:val="0"/>
        </w:numPr>
        <w:rPr>
          <w:b/>
        </w:rPr>
      </w:pPr>
      <w:r>
        <w:rPr>
          <w:b/>
        </w:rPr>
        <w:t xml:space="preserve">Vergleich der </w:t>
      </w:r>
      <w:r w:rsidR="00FB73DD" w:rsidRPr="00FB73DD">
        <w:rPr>
          <w:b/>
        </w:rPr>
        <w:t>Gesamtmittelwerte ohne 3:</w:t>
      </w:r>
    </w:p>
    <w:p w:rsidR="00FB73DD" w:rsidRDefault="00FB73DD" w:rsidP="00E94904">
      <w:pPr>
        <w:pStyle w:val="Aufzhlungszeichen"/>
        <w:numPr>
          <w:ilvl w:val="0"/>
          <w:numId w:val="0"/>
        </w:numPr>
      </w:pPr>
    </w:p>
    <w:p w:rsidR="00D97716" w:rsidRDefault="00791E95" w:rsidP="00E94904">
      <w:pPr>
        <w:pStyle w:val="Aufzhlungszeichen"/>
        <w:numPr>
          <w:ilvl w:val="0"/>
          <w:numId w:val="0"/>
        </w:numPr>
      </w:pPr>
      <w:r>
        <w:rPr>
          <w:noProof/>
        </w:rPr>
        <w:drawing>
          <wp:inline distT="0" distB="0" distL="0" distR="0">
            <wp:extent cx="4559300" cy="2730500"/>
            <wp:effectExtent l="25400" t="0" r="0" b="0"/>
            <wp:docPr id="4" name="Bild 4" descr="gesamtmittelwerte oh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samtmittelwerte ohne 3"/>
                    <pic:cNvPicPr>
                      <a:picLocks noChangeAspect="1" noChangeArrowheads="1"/>
                    </pic:cNvPicPr>
                  </pic:nvPicPr>
                  <pic:blipFill>
                    <a:blip r:embed="rId8"/>
                    <a:srcRect/>
                    <a:stretch>
                      <a:fillRect/>
                    </a:stretch>
                  </pic:blipFill>
                  <pic:spPr bwMode="auto">
                    <a:xfrm>
                      <a:off x="0" y="0"/>
                      <a:ext cx="4559300" cy="2730500"/>
                    </a:xfrm>
                    <a:prstGeom prst="rect">
                      <a:avLst/>
                    </a:prstGeom>
                    <a:noFill/>
                    <a:ln w="9525">
                      <a:noFill/>
                      <a:miter lim="800000"/>
                      <a:headEnd/>
                      <a:tailEnd/>
                    </a:ln>
                  </pic:spPr>
                </pic:pic>
              </a:graphicData>
            </a:graphic>
          </wp:inline>
        </w:drawing>
      </w:r>
      <w:r w:rsidR="00D97716">
        <w:t xml:space="preserve"> </w:t>
      </w:r>
    </w:p>
    <w:p w:rsidR="001C15C7" w:rsidRDefault="001C15C7" w:rsidP="00E94904">
      <w:pPr>
        <w:pStyle w:val="Aufzhlungszeichen"/>
        <w:numPr>
          <w:ilvl w:val="0"/>
          <w:numId w:val="0"/>
        </w:numPr>
        <w:rPr>
          <w:b/>
        </w:rPr>
      </w:pPr>
      <w:r w:rsidRPr="001C15C7">
        <w:rPr>
          <w:b/>
        </w:rPr>
        <w:t xml:space="preserve"> Vergleich der Oberarmmittelwerte ohne 3:</w:t>
      </w:r>
    </w:p>
    <w:p w:rsidR="001C15C7" w:rsidRPr="001C15C7" w:rsidRDefault="001C15C7" w:rsidP="00E94904">
      <w:pPr>
        <w:pStyle w:val="Aufzhlungszeichen"/>
        <w:numPr>
          <w:ilvl w:val="0"/>
          <w:numId w:val="0"/>
        </w:numPr>
        <w:rPr>
          <w:b/>
        </w:rPr>
      </w:pPr>
    </w:p>
    <w:p w:rsidR="001C15C7" w:rsidRDefault="00791E95" w:rsidP="00E94904">
      <w:pPr>
        <w:pStyle w:val="Aufzhlungszeichen"/>
        <w:numPr>
          <w:ilvl w:val="0"/>
          <w:numId w:val="0"/>
        </w:numPr>
      </w:pPr>
      <w:r>
        <w:rPr>
          <w:noProof/>
        </w:rPr>
        <w:drawing>
          <wp:inline distT="0" distB="0" distL="0" distR="0">
            <wp:extent cx="4546600" cy="2730500"/>
            <wp:effectExtent l="25400" t="0" r="0" b="0"/>
            <wp:docPr id="5" name="Bild 5" descr="mittelwerteoberarm oh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ttelwerteoberarm ohne 3"/>
                    <pic:cNvPicPr>
                      <a:picLocks noChangeAspect="1" noChangeArrowheads="1"/>
                    </pic:cNvPicPr>
                  </pic:nvPicPr>
                  <pic:blipFill>
                    <a:blip r:embed="rId9"/>
                    <a:srcRect/>
                    <a:stretch>
                      <a:fillRect/>
                    </a:stretch>
                  </pic:blipFill>
                  <pic:spPr bwMode="auto">
                    <a:xfrm>
                      <a:off x="0" y="0"/>
                      <a:ext cx="4546600" cy="2730500"/>
                    </a:xfrm>
                    <a:prstGeom prst="rect">
                      <a:avLst/>
                    </a:prstGeom>
                    <a:noFill/>
                    <a:ln w="9525">
                      <a:noFill/>
                      <a:miter lim="800000"/>
                      <a:headEnd/>
                      <a:tailEnd/>
                    </a:ln>
                  </pic:spPr>
                </pic:pic>
              </a:graphicData>
            </a:graphic>
          </wp:inline>
        </w:drawing>
      </w: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1C15C7" w:rsidRPr="001C15C7" w:rsidRDefault="001C15C7" w:rsidP="00E94904">
      <w:pPr>
        <w:pStyle w:val="Aufzhlungszeichen"/>
        <w:numPr>
          <w:ilvl w:val="0"/>
          <w:numId w:val="0"/>
        </w:numPr>
        <w:rPr>
          <w:b/>
        </w:rPr>
      </w:pPr>
    </w:p>
    <w:p w:rsidR="0058597B" w:rsidRDefault="0058597B" w:rsidP="00E94904">
      <w:pPr>
        <w:pStyle w:val="Aufzhlungszeichen"/>
        <w:numPr>
          <w:ilvl w:val="0"/>
          <w:numId w:val="0"/>
        </w:numPr>
        <w:rPr>
          <w:b/>
        </w:rPr>
      </w:pPr>
    </w:p>
    <w:p w:rsidR="001C15C7" w:rsidRPr="001C15C7" w:rsidRDefault="001C15C7" w:rsidP="00E94904">
      <w:pPr>
        <w:pStyle w:val="Aufzhlungszeichen"/>
        <w:numPr>
          <w:ilvl w:val="0"/>
          <w:numId w:val="0"/>
        </w:numPr>
        <w:rPr>
          <w:b/>
        </w:rPr>
      </w:pPr>
      <w:r w:rsidRPr="001C15C7">
        <w:rPr>
          <w:b/>
        </w:rPr>
        <w:t>Vergleich der Unterarmmittelwerte ohne 3:</w:t>
      </w:r>
    </w:p>
    <w:p w:rsidR="001C15C7" w:rsidRDefault="001C15C7" w:rsidP="00E94904">
      <w:pPr>
        <w:pStyle w:val="Aufzhlungszeichen"/>
        <w:numPr>
          <w:ilvl w:val="0"/>
          <w:numId w:val="0"/>
        </w:numPr>
      </w:pPr>
    </w:p>
    <w:p w:rsidR="001C15C7" w:rsidRDefault="00791E95" w:rsidP="00E94904">
      <w:pPr>
        <w:pStyle w:val="Aufzhlungszeichen"/>
        <w:numPr>
          <w:ilvl w:val="0"/>
          <w:numId w:val="0"/>
        </w:numPr>
      </w:pPr>
      <w:r>
        <w:rPr>
          <w:noProof/>
        </w:rPr>
        <w:drawing>
          <wp:inline distT="0" distB="0" distL="0" distR="0">
            <wp:extent cx="4559300" cy="2705100"/>
            <wp:effectExtent l="25400" t="0" r="0" b="0"/>
            <wp:docPr id="6" name="Bild 6" descr="mittelwerteunterarm oh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ttelwerteunterarm ohne 3"/>
                    <pic:cNvPicPr>
                      <a:picLocks noChangeAspect="1" noChangeArrowheads="1"/>
                    </pic:cNvPicPr>
                  </pic:nvPicPr>
                  <pic:blipFill>
                    <a:blip r:embed="rId10"/>
                    <a:srcRect/>
                    <a:stretch>
                      <a:fillRect/>
                    </a:stretch>
                  </pic:blipFill>
                  <pic:spPr bwMode="auto">
                    <a:xfrm>
                      <a:off x="0" y="0"/>
                      <a:ext cx="4559300" cy="2705100"/>
                    </a:xfrm>
                    <a:prstGeom prst="rect">
                      <a:avLst/>
                    </a:prstGeom>
                    <a:noFill/>
                    <a:ln w="9525">
                      <a:noFill/>
                      <a:miter lim="800000"/>
                      <a:headEnd/>
                      <a:tailEnd/>
                    </a:ln>
                  </pic:spPr>
                </pic:pic>
              </a:graphicData>
            </a:graphic>
          </wp:inline>
        </w:drawing>
      </w:r>
    </w:p>
    <w:p w:rsidR="001C15C7" w:rsidRDefault="001C15C7" w:rsidP="00E94904">
      <w:pPr>
        <w:pStyle w:val="Aufzhlungszeichen"/>
        <w:numPr>
          <w:ilvl w:val="0"/>
          <w:numId w:val="0"/>
        </w:numPr>
      </w:pPr>
    </w:p>
    <w:p w:rsidR="001C15C7" w:rsidRDefault="001C15C7" w:rsidP="00E94904">
      <w:pPr>
        <w:pStyle w:val="Aufzhlungszeichen"/>
        <w:numPr>
          <w:ilvl w:val="0"/>
          <w:numId w:val="0"/>
        </w:numPr>
      </w:pPr>
      <w:r>
        <w:t>Beim Vergleich der Mittelwerte ohne die drei Patienten mit dem schlechtesten Ergebniss fallen die Unterschiede zwischen der beiden Gruppen geringer aus.</w:t>
      </w:r>
    </w:p>
    <w:p w:rsidR="00650E9A" w:rsidRDefault="001C15C7" w:rsidP="00E94904">
      <w:pPr>
        <w:pStyle w:val="Aufzhlungszeichen"/>
        <w:numPr>
          <w:ilvl w:val="0"/>
          <w:numId w:val="0"/>
        </w:numPr>
      </w:pPr>
      <w:r>
        <w:t>Dies liegt vor allem an den Mittelwerten des Unterarmes,bei denen sich das Endergebniss völlig angleicht,bei weiterhin</w:t>
      </w:r>
      <w:r w:rsidR="00650E9A">
        <w:t xml:space="preserve"> unharmonischer Verlaufskurve.</w:t>
      </w:r>
    </w:p>
    <w:p w:rsidR="00650E9A" w:rsidRDefault="00650E9A" w:rsidP="00E94904">
      <w:pPr>
        <w:pStyle w:val="Aufzhlungszeichen"/>
        <w:numPr>
          <w:ilvl w:val="0"/>
          <w:numId w:val="0"/>
        </w:numPr>
      </w:pPr>
      <w:r>
        <w:t>Erstaunlich ist die ehebliche Anfangsreduzierung der Unterarmdicke während der ersten 4 Behandlungen,die sich im weiteren Verlauf allerdings relativiert.</w:t>
      </w:r>
    </w:p>
    <w:p w:rsidR="00DD05E1" w:rsidRDefault="00650E9A" w:rsidP="00E94904">
      <w:pPr>
        <w:pStyle w:val="Aufzhlungszeichen"/>
        <w:numPr>
          <w:ilvl w:val="0"/>
          <w:numId w:val="0"/>
        </w:numPr>
      </w:pPr>
      <w:r>
        <w:t>Die Oberarmmittelwertskurven bleiben nahezu identisch in ihrem Abstand zueinander,mit natürlich dem besseren Endergebniss ohne die 3 schlechtesten Verläufe.</w:t>
      </w:r>
    </w:p>
    <w:p w:rsidR="00DD05E1" w:rsidRDefault="00DD05E1" w:rsidP="00E94904">
      <w:pPr>
        <w:pStyle w:val="Aufzhlungszeichen"/>
        <w:numPr>
          <w:ilvl w:val="0"/>
          <w:numId w:val="0"/>
        </w:numPr>
      </w:pPr>
    </w:p>
    <w:p w:rsidR="00DD05E1" w:rsidRDefault="00DD05E1" w:rsidP="00E94904">
      <w:pPr>
        <w:pStyle w:val="Aufzhlungszeichen"/>
        <w:numPr>
          <w:ilvl w:val="0"/>
          <w:numId w:val="0"/>
        </w:numPr>
      </w:pPr>
      <w:r>
        <w:t>Signifikanzermittlung</w:t>
      </w:r>
    </w:p>
    <w:p w:rsidR="00DD05E1" w:rsidRDefault="00DD05E1" w:rsidP="00E94904">
      <w:pPr>
        <w:pStyle w:val="Aufzhlungszeichen"/>
        <w:numPr>
          <w:ilvl w:val="0"/>
          <w:numId w:val="0"/>
        </w:numPr>
      </w:pPr>
    </w:p>
    <w:tbl>
      <w:tblPr>
        <w:tblW w:w="9000" w:type="dxa"/>
        <w:tblInd w:w="50" w:type="dxa"/>
        <w:tblCellMar>
          <w:left w:w="70" w:type="dxa"/>
          <w:right w:w="70" w:type="dxa"/>
        </w:tblCellMar>
        <w:tblLook w:val="0000"/>
      </w:tblPr>
      <w:tblGrid>
        <w:gridCol w:w="1427"/>
        <w:gridCol w:w="1474"/>
        <w:gridCol w:w="1365"/>
        <w:gridCol w:w="1428"/>
        <w:gridCol w:w="1832"/>
        <w:gridCol w:w="1474"/>
      </w:tblGrid>
      <w:tr w:rsidR="0058597B" w:rsidRPr="0058597B" w:rsidTr="0058597B">
        <w:trPr>
          <w:trHeight w:val="300"/>
        </w:trPr>
        <w:tc>
          <w:tcPr>
            <w:tcW w:w="1450" w:type="dxa"/>
            <w:tcBorders>
              <w:top w:val="nil"/>
              <w:left w:val="nil"/>
              <w:bottom w:val="nil"/>
              <w:right w:val="nil"/>
            </w:tcBorders>
            <w:shd w:val="clear" w:color="auto" w:fill="auto"/>
            <w:noWrap/>
            <w:vAlign w:val="bottom"/>
          </w:tcPr>
          <w:p w:rsidR="0058597B" w:rsidRDefault="0058597B" w:rsidP="0058597B"/>
        </w:tc>
        <w:tc>
          <w:tcPr>
            <w:tcW w:w="1480" w:type="dxa"/>
            <w:tcBorders>
              <w:top w:val="nil"/>
              <w:left w:val="nil"/>
              <w:bottom w:val="nil"/>
              <w:right w:val="nil"/>
            </w:tcBorders>
            <w:shd w:val="clear" w:color="auto" w:fill="auto"/>
            <w:noWrap/>
            <w:vAlign w:val="bottom"/>
          </w:tcPr>
          <w:p w:rsidR="0058597B" w:rsidRPr="0058597B" w:rsidRDefault="0058597B" w:rsidP="0058597B">
            <w:pPr>
              <w:rPr>
                <w:rFonts w:ascii="Verdana" w:hAnsi="Verdana"/>
                <w:sz w:val="20"/>
                <w:szCs w:val="20"/>
              </w:rPr>
            </w:pPr>
          </w:p>
        </w:tc>
        <w:tc>
          <w:tcPr>
            <w:tcW w:w="1408" w:type="dxa"/>
            <w:tcBorders>
              <w:top w:val="nil"/>
              <w:left w:val="nil"/>
              <w:bottom w:val="nil"/>
              <w:right w:val="nil"/>
            </w:tcBorders>
            <w:shd w:val="clear" w:color="auto" w:fill="auto"/>
            <w:noWrap/>
            <w:vAlign w:val="bottom"/>
          </w:tcPr>
          <w:p w:rsidR="0058597B" w:rsidRPr="0058597B" w:rsidRDefault="0058597B" w:rsidP="0058597B">
            <w:pPr>
              <w:rPr>
                <w:rFonts w:ascii="Verdana" w:hAnsi="Verdana"/>
                <w:sz w:val="20"/>
                <w:szCs w:val="20"/>
              </w:rPr>
            </w:pPr>
          </w:p>
        </w:tc>
        <w:tc>
          <w:tcPr>
            <w:tcW w:w="1450" w:type="dxa"/>
            <w:tcBorders>
              <w:top w:val="nil"/>
              <w:left w:val="nil"/>
              <w:bottom w:val="nil"/>
              <w:right w:val="nil"/>
            </w:tcBorders>
            <w:shd w:val="clear" w:color="auto" w:fill="auto"/>
            <w:noWrap/>
            <w:vAlign w:val="bottom"/>
          </w:tcPr>
          <w:p w:rsidR="0058597B" w:rsidRPr="0058597B" w:rsidRDefault="0058597B" w:rsidP="0058597B">
            <w:pPr>
              <w:rPr>
                <w:rFonts w:ascii="Verdana" w:hAnsi="Verdana"/>
                <w:sz w:val="20"/>
                <w:szCs w:val="20"/>
              </w:rPr>
            </w:pPr>
          </w:p>
        </w:tc>
        <w:tc>
          <w:tcPr>
            <w:tcW w:w="1732" w:type="dxa"/>
            <w:tcBorders>
              <w:top w:val="nil"/>
              <w:left w:val="nil"/>
              <w:bottom w:val="nil"/>
              <w:right w:val="nil"/>
            </w:tcBorders>
            <w:shd w:val="clear" w:color="auto" w:fill="auto"/>
            <w:noWrap/>
            <w:vAlign w:val="bottom"/>
          </w:tcPr>
          <w:p w:rsidR="0058597B" w:rsidRPr="0058597B" w:rsidRDefault="0058597B" w:rsidP="0058597B">
            <w:pPr>
              <w:rPr>
                <w:rFonts w:ascii="Verdana" w:hAnsi="Verdana"/>
                <w:sz w:val="20"/>
                <w:szCs w:val="20"/>
              </w:rPr>
            </w:pPr>
          </w:p>
        </w:tc>
        <w:tc>
          <w:tcPr>
            <w:tcW w:w="1480" w:type="dxa"/>
            <w:tcBorders>
              <w:top w:val="nil"/>
              <w:left w:val="nil"/>
              <w:bottom w:val="nil"/>
              <w:right w:val="nil"/>
            </w:tcBorders>
            <w:shd w:val="clear" w:color="auto" w:fill="auto"/>
            <w:noWrap/>
            <w:vAlign w:val="bottom"/>
          </w:tcPr>
          <w:p w:rsidR="0058597B" w:rsidRPr="0058597B" w:rsidRDefault="0058597B" w:rsidP="0058597B">
            <w:pPr>
              <w:rPr>
                <w:rFonts w:ascii="Verdana" w:hAnsi="Verdana"/>
                <w:sz w:val="20"/>
                <w:szCs w:val="20"/>
              </w:rPr>
            </w:pPr>
          </w:p>
        </w:tc>
      </w:tr>
      <w:tr w:rsidR="0058597B" w:rsidRPr="0058597B" w:rsidTr="0058597B">
        <w:trPr>
          <w:trHeight w:val="280"/>
        </w:trPr>
        <w:tc>
          <w:tcPr>
            <w:tcW w:w="9000" w:type="dxa"/>
            <w:gridSpan w:val="6"/>
            <w:tcBorders>
              <w:top w:val="nil"/>
              <w:left w:val="nil"/>
              <w:bottom w:val="single" w:sz="12" w:space="0" w:color="000000"/>
              <w:right w:val="nil"/>
            </w:tcBorders>
            <w:shd w:val="clear" w:color="auto" w:fill="FFFFFF"/>
            <w:vAlign w:val="bottom"/>
          </w:tcPr>
          <w:p w:rsidR="0058597B" w:rsidRPr="0058597B" w:rsidRDefault="0058597B" w:rsidP="0058597B">
            <w:pPr>
              <w:jc w:val="center"/>
              <w:rPr>
                <w:rFonts w:ascii="Arial" w:hAnsi="Arial"/>
                <w:b/>
                <w:bCs/>
                <w:color w:val="000000"/>
                <w:sz w:val="18"/>
                <w:szCs w:val="18"/>
              </w:rPr>
            </w:pPr>
            <w:r w:rsidRPr="0058597B">
              <w:rPr>
                <w:rFonts w:ascii="Arial" w:hAnsi="Arial"/>
                <w:b/>
                <w:bCs/>
                <w:color w:val="000000"/>
                <w:sz w:val="18"/>
                <w:szCs w:val="18"/>
              </w:rPr>
              <w:t>Gruppenstatistiken</w:t>
            </w:r>
          </w:p>
        </w:tc>
      </w:tr>
      <w:tr w:rsidR="0058597B" w:rsidRPr="0058597B" w:rsidTr="0058597B">
        <w:trPr>
          <w:trHeight w:val="480"/>
        </w:trPr>
        <w:tc>
          <w:tcPr>
            <w:tcW w:w="1450" w:type="dxa"/>
            <w:tcBorders>
              <w:top w:val="single" w:sz="12" w:space="0" w:color="000000"/>
              <w:left w:val="single" w:sz="12" w:space="0" w:color="000000"/>
              <w:bottom w:val="single" w:sz="12" w:space="0" w:color="000000"/>
              <w:right w:val="nil"/>
            </w:tcBorders>
            <w:shd w:val="clear" w:color="auto" w:fill="FFFFFF"/>
          </w:tcPr>
          <w:p w:rsidR="0058597B" w:rsidRDefault="0058597B" w:rsidP="0058597B">
            <w:r>
              <w:t> </w:t>
            </w:r>
          </w:p>
        </w:tc>
        <w:tc>
          <w:tcPr>
            <w:tcW w:w="1480" w:type="dxa"/>
            <w:tcBorders>
              <w:top w:val="single" w:sz="12" w:space="0" w:color="000000"/>
              <w:left w:val="nil"/>
              <w:bottom w:val="single" w:sz="12" w:space="0" w:color="000000"/>
              <w:right w:val="single" w:sz="12" w:space="0" w:color="000000"/>
            </w:tcBorders>
            <w:shd w:val="clear" w:color="auto" w:fill="FFFFFF"/>
            <w:vAlign w:val="bottom"/>
          </w:tcPr>
          <w:p w:rsidR="0058597B" w:rsidRPr="0058597B" w:rsidRDefault="0058597B" w:rsidP="0058597B">
            <w:pPr>
              <w:rPr>
                <w:rFonts w:ascii="Arial" w:hAnsi="Arial"/>
                <w:color w:val="000000"/>
                <w:sz w:val="18"/>
                <w:szCs w:val="18"/>
              </w:rPr>
            </w:pPr>
            <w:r w:rsidRPr="0058597B">
              <w:rPr>
                <w:rFonts w:ascii="Arial" w:hAnsi="Arial"/>
                <w:color w:val="000000"/>
                <w:sz w:val="18"/>
                <w:szCs w:val="18"/>
              </w:rPr>
              <w:t>Gruppe</w:t>
            </w:r>
          </w:p>
        </w:tc>
        <w:tc>
          <w:tcPr>
            <w:tcW w:w="1408" w:type="dxa"/>
            <w:tcBorders>
              <w:top w:val="single" w:sz="12" w:space="0" w:color="000000"/>
              <w:left w:val="nil"/>
              <w:bottom w:val="single" w:sz="12" w:space="0" w:color="000000"/>
              <w:right w:val="single" w:sz="8" w:space="0" w:color="000000"/>
            </w:tcBorders>
            <w:shd w:val="clear" w:color="auto" w:fill="FFFFFF"/>
            <w:vAlign w:val="bottom"/>
          </w:tcPr>
          <w:p w:rsidR="0058597B" w:rsidRPr="0058597B" w:rsidRDefault="0058597B" w:rsidP="0058597B">
            <w:pPr>
              <w:jc w:val="center"/>
              <w:rPr>
                <w:rFonts w:ascii="Arial" w:hAnsi="Arial"/>
                <w:color w:val="000000"/>
                <w:sz w:val="18"/>
                <w:szCs w:val="18"/>
              </w:rPr>
            </w:pPr>
            <w:r w:rsidRPr="0058597B">
              <w:rPr>
                <w:rFonts w:ascii="Arial" w:hAnsi="Arial"/>
                <w:color w:val="000000"/>
                <w:sz w:val="18"/>
                <w:szCs w:val="18"/>
              </w:rPr>
              <w:t>N</w:t>
            </w:r>
          </w:p>
        </w:tc>
        <w:tc>
          <w:tcPr>
            <w:tcW w:w="1450" w:type="dxa"/>
            <w:tcBorders>
              <w:top w:val="single" w:sz="12" w:space="0" w:color="000000"/>
              <w:left w:val="nil"/>
              <w:bottom w:val="single" w:sz="12" w:space="0" w:color="000000"/>
              <w:right w:val="single" w:sz="8" w:space="0" w:color="000000"/>
            </w:tcBorders>
            <w:shd w:val="clear" w:color="auto" w:fill="FFFFFF"/>
            <w:vAlign w:val="bottom"/>
          </w:tcPr>
          <w:p w:rsidR="0058597B" w:rsidRPr="0058597B" w:rsidRDefault="0058597B" w:rsidP="0058597B">
            <w:pPr>
              <w:jc w:val="center"/>
              <w:rPr>
                <w:rFonts w:ascii="Arial" w:hAnsi="Arial"/>
                <w:color w:val="000000"/>
                <w:sz w:val="18"/>
                <w:szCs w:val="18"/>
              </w:rPr>
            </w:pPr>
            <w:r w:rsidRPr="0058597B">
              <w:rPr>
                <w:rFonts w:ascii="Arial" w:hAnsi="Arial"/>
                <w:color w:val="000000"/>
                <w:sz w:val="18"/>
                <w:szCs w:val="18"/>
              </w:rPr>
              <w:t>Mittelwert</w:t>
            </w:r>
          </w:p>
        </w:tc>
        <w:tc>
          <w:tcPr>
            <w:tcW w:w="1732" w:type="dxa"/>
            <w:tcBorders>
              <w:top w:val="single" w:sz="12" w:space="0" w:color="000000"/>
              <w:left w:val="nil"/>
              <w:bottom w:val="single" w:sz="12" w:space="0" w:color="000000"/>
              <w:right w:val="single" w:sz="8" w:space="0" w:color="000000"/>
            </w:tcBorders>
            <w:shd w:val="clear" w:color="auto" w:fill="FFFFFF"/>
            <w:vAlign w:val="bottom"/>
          </w:tcPr>
          <w:p w:rsidR="0058597B" w:rsidRPr="0058597B" w:rsidRDefault="0058597B" w:rsidP="0058597B">
            <w:pPr>
              <w:jc w:val="center"/>
              <w:rPr>
                <w:rFonts w:ascii="Arial" w:hAnsi="Arial"/>
                <w:color w:val="000000"/>
                <w:sz w:val="18"/>
                <w:szCs w:val="18"/>
              </w:rPr>
            </w:pPr>
            <w:r w:rsidRPr="0058597B">
              <w:rPr>
                <w:rFonts w:ascii="Arial" w:hAnsi="Arial"/>
                <w:color w:val="000000"/>
                <w:sz w:val="18"/>
                <w:szCs w:val="18"/>
              </w:rPr>
              <w:t>Standardabweichung</w:t>
            </w:r>
          </w:p>
        </w:tc>
        <w:tc>
          <w:tcPr>
            <w:tcW w:w="1480" w:type="dxa"/>
            <w:tcBorders>
              <w:top w:val="single" w:sz="12" w:space="0" w:color="000000"/>
              <w:left w:val="nil"/>
              <w:bottom w:val="single" w:sz="12" w:space="0" w:color="000000"/>
              <w:right w:val="single" w:sz="12" w:space="0" w:color="000000"/>
            </w:tcBorders>
            <w:shd w:val="clear" w:color="auto" w:fill="FFFFFF"/>
            <w:vAlign w:val="bottom"/>
          </w:tcPr>
          <w:p w:rsidR="0058597B" w:rsidRPr="0058597B" w:rsidRDefault="0058597B" w:rsidP="0058597B">
            <w:pPr>
              <w:jc w:val="center"/>
              <w:rPr>
                <w:rFonts w:ascii="Arial" w:hAnsi="Arial"/>
                <w:color w:val="000000"/>
                <w:sz w:val="18"/>
                <w:szCs w:val="18"/>
              </w:rPr>
            </w:pPr>
            <w:r w:rsidRPr="0058597B">
              <w:rPr>
                <w:rFonts w:ascii="Arial" w:hAnsi="Arial"/>
                <w:color w:val="000000"/>
                <w:sz w:val="18"/>
                <w:szCs w:val="18"/>
              </w:rPr>
              <w:t>Standardfehler des Mittelwertes</w:t>
            </w:r>
          </w:p>
        </w:tc>
      </w:tr>
      <w:tr w:rsidR="0058597B" w:rsidRPr="0058597B" w:rsidTr="0058597B">
        <w:trPr>
          <w:trHeight w:val="280"/>
        </w:trPr>
        <w:tc>
          <w:tcPr>
            <w:tcW w:w="1450" w:type="dxa"/>
            <w:vMerge w:val="restart"/>
            <w:tcBorders>
              <w:top w:val="single" w:sz="12" w:space="0" w:color="000000"/>
              <w:left w:val="single" w:sz="12" w:space="0" w:color="000000"/>
              <w:bottom w:val="single" w:sz="8" w:space="0" w:color="000000"/>
              <w:right w:val="nil"/>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Oberarm</w:t>
            </w:r>
          </w:p>
        </w:tc>
        <w:tc>
          <w:tcPr>
            <w:tcW w:w="1480" w:type="dxa"/>
            <w:tcBorders>
              <w:top w:val="nil"/>
              <w:left w:val="nil"/>
              <w:bottom w:val="nil"/>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Lympfdrainage</w:t>
            </w:r>
          </w:p>
        </w:tc>
        <w:tc>
          <w:tcPr>
            <w:tcW w:w="1408"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97,6953</w:t>
            </w:r>
          </w:p>
        </w:tc>
        <w:tc>
          <w:tcPr>
            <w:tcW w:w="1732"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2,70384</w:t>
            </w:r>
          </w:p>
        </w:tc>
        <w:tc>
          <w:tcPr>
            <w:tcW w:w="1480" w:type="dxa"/>
            <w:tcBorders>
              <w:top w:val="nil"/>
              <w:left w:val="nil"/>
              <w:bottom w:val="nil"/>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0,81524</w:t>
            </w:r>
          </w:p>
        </w:tc>
      </w:tr>
      <w:tr w:rsidR="0058597B" w:rsidRPr="0058597B" w:rsidTr="0058597B">
        <w:trPr>
          <w:trHeight w:val="280"/>
        </w:trPr>
        <w:tc>
          <w:tcPr>
            <w:tcW w:w="1450" w:type="dxa"/>
            <w:vMerge/>
            <w:tcBorders>
              <w:top w:val="single" w:sz="12" w:space="0" w:color="000000"/>
              <w:left w:val="single" w:sz="12" w:space="0" w:color="000000"/>
              <w:bottom w:val="single" w:sz="8" w:space="0" w:color="000000"/>
              <w:right w:val="nil"/>
            </w:tcBorders>
            <w:shd w:val="clear" w:color="auto" w:fill="auto"/>
            <w:vAlign w:val="center"/>
          </w:tcPr>
          <w:p w:rsidR="0058597B" w:rsidRPr="0058597B" w:rsidRDefault="0058597B" w:rsidP="0058597B">
            <w:pPr>
              <w:rPr>
                <w:rFonts w:ascii="Arial" w:hAnsi="Arial"/>
                <w:color w:val="000000"/>
                <w:sz w:val="18"/>
                <w:szCs w:val="18"/>
              </w:rPr>
            </w:pPr>
          </w:p>
        </w:tc>
        <w:tc>
          <w:tcPr>
            <w:tcW w:w="1480" w:type="dxa"/>
            <w:tcBorders>
              <w:top w:val="nil"/>
              <w:left w:val="nil"/>
              <w:bottom w:val="single" w:sz="8" w:space="0" w:color="000000"/>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Osteopathie</w:t>
            </w:r>
          </w:p>
        </w:tc>
        <w:tc>
          <w:tcPr>
            <w:tcW w:w="1408"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95,5702</w:t>
            </w:r>
          </w:p>
        </w:tc>
        <w:tc>
          <w:tcPr>
            <w:tcW w:w="1732"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2,86098</w:t>
            </w:r>
          </w:p>
        </w:tc>
        <w:tc>
          <w:tcPr>
            <w:tcW w:w="1480" w:type="dxa"/>
            <w:tcBorders>
              <w:top w:val="nil"/>
              <w:left w:val="nil"/>
              <w:bottom w:val="single" w:sz="8" w:space="0" w:color="000000"/>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0,86262</w:t>
            </w:r>
          </w:p>
        </w:tc>
      </w:tr>
      <w:tr w:rsidR="0058597B" w:rsidRPr="0058597B" w:rsidTr="0058597B">
        <w:trPr>
          <w:trHeight w:val="260"/>
        </w:trPr>
        <w:tc>
          <w:tcPr>
            <w:tcW w:w="1450" w:type="dxa"/>
            <w:vMerge w:val="restart"/>
            <w:tcBorders>
              <w:top w:val="single" w:sz="8" w:space="0" w:color="000000"/>
              <w:left w:val="single" w:sz="12" w:space="0" w:color="000000"/>
              <w:bottom w:val="single" w:sz="8" w:space="0" w:color="000000"/>
              <w:right w:val="nil"/>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Unterarm</w:t>
            </w:r>
          </w:p>
        </w:tc>
        <w:tc>
          <w:tcPr>
            <w:tcW w:w="1480" w:type="dxa"/>
            <w:tcBorders>
              <w:top w:val="nil"/>
              <w:left w:val="nil"/>
              <w:bottom w:val="nil"/>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Lympfdrainage</w:t>
            </w:r>
          </w:p>
        </w:tc>
        <w:tc>
          <w:tcPr>
            <w:tcW w:w="1408"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98,3142</w:t>
            </w:r>
          </w:p>
        </w:tc>
        <w:tc>
          <w:tcPr>
            <w:tcW w:w="1732"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5,03019</w:t>
            </w:r>
          </w:p>
        </w:tc>
        <w:tc>
          <w:tcPr>
            <w:tcW w:w="1480" w:type="dxa"/>
            <w:tcBorders>
              <w:top w:val="nil"/>
              <w:left w:val="nil"/>
              <w:bottom w:val="nil"/>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1,51666</w:t>
            </w:r>
          </w:p>
        </w:tc>
      </w:tr>
      <w:tr w:rsidR="0058597B" w:rsidRPr="0058597B" w:rsidTr="0058597B">
        <w:trPr>
          <w:trHeight w:val="280"/>
        </w:trPr>
        <w:tc>
          <w:tcPr>
            <w:tcW w:w="1450" w:type="dxa"/>
            <w:vMerge/>
            <w:tcBorders>
              <w:top w:val="single" w:sz="8" w:space="0" w:color="000000"/>
              <w:left w:val="single" w:sz="12" w:space="0" w:color="000000"/>
              <w:bottom w:val="single" w:sz="8" w:space="0" w:color="000000"/>
              <w:right w:val="nil"/>
            </w:tcBorders>
            <w:shd w:val="clear" w:color="auto" w:fill="auto"/>
            <w:vAlign w:val="center"/>
          </w:tcPr>
          <w:p w:rsidR="0058597B" w:rsidRPr="0058597B" w:rsidRDefault="0058597B" w:rsidP="0058597B">
            <w:pPr>
              <w:rPr>
                <w:rFonts w:ascii="Arial" w:hAnsi="Arial"/>
                <w:color w:val="000000"/>
                <w:sz w:val="18"/>
                <w:szCs w:val="18"/>
              </w:rPr>
            </w:pPr>
          </w:p>
        </w:tc>
        <w:tc>
          <w:tcPr>
            <w:tcW w:w="1480" w:type="dxa"/>
            <w:tcBorders>
              <w:top w:val="nil"/>
              <w:left w:val="nil"/>
              <w:bottom w:val="single" w:sz="8" w:space="0" w:color="000000"/>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Osteopathie</w:t>
            </w:r>
          </w:p>
        </w:tc>
        <w:tc>
          <w:tcPr>
            <w:tcW w:w="1408"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97,7289</w:t>
            </w:r>
          </w:p>
        </w:tc>
        <w:tc>
          <w:tcPr>
            <w:tcW w:w="1732" w:type="dxa"/>
            <w:tcBorders>
              <w:top w:val="nil"/>
              <w:left w:val="nil"/>
              <w:bottom w:val="single" w:sz="8"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3,02546</w:t>
            </w:r>
          </w:p>
        </w:tc>
        <w:tc>
          <w:tcPr>
            <w:tcW w:w="1480" w:type="dxa"/>
            <w:tcBorders>
              <w:top w:val="nil"/>
              <w:left w:val="nil"/>
              <w:bottom w:val="single" w:sz="8" w:space="0" w:color="000000"/>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0,91221</w:t>
            </w:r>
          </w:p>
        </w:tc>
      </w:tr>
      <w:tr w:rsidR="0058597B" w:rsidRPr="0058597B" w:rsidTr="0058597B">
        <w:trPr>
          <w:trHeight w:val="260"/>
        </w:trPr>
        <w:tc>
          <w:tcPr>
            <w:tcW w:w="1450" w:type="dxa"/>
            <w:vMerge w:val="restart"/>
            <w:tcBorders>
              <w:top w:val="single" w:sz="8" w:space="0" w:color="000000"/>
              <w:left w:val="single" w:sz="12" w:space="0" w:color="000000"/>
              <w:bottom w:val="single" w:sz="12" w:space="0" w:color="000000"/>
              <w:right w:val="nil"/>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Mittelwert</w:t>
            </w:r>
          </w:p>
        </w:tc>
        <w:tc>
          <w:tcPr>
            <w:tcW w:w="1480" w:type="dxa"/>
            <w:tcBorders>
              <w:top w:val="nil"/>
              <w:left w:val="nil"/>
              <w:bottom w:val="nil"/>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Lympfdrainage</w:t>
            </w:r>
          </w:p>
        </w:tc>
        <w:tc>
          <w:tcPr>
            <w:tcW w:w="1408"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98,0047</w:t>
            </w:r>
          </w:p>
        </w:tc>
        <w:tc>
          <w:tcPr>
            <w:tcW w:w="1732" w:type="dxa"/>
            <w:tcBorders>
              <w:top w:val="nil"/>
              <w:left w:val="nil"/>
              <w:bottom w:val="nil"/>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3,6223</w:t>
            </w:r>
          </w:p>
        </w:tc>
        <w:tc>
          <w:tcPr>
            <w:tcW w:w="1480" w:type="dxa"/>
            <w:tcBorders>
              <w:top w:val="nil"/>
              <w:left w:val="nil"/>
              <w:bottom w:val="nil"/>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1,09216</w:t>
            </w:r>
          </w:p>
        </w:tc>
      </w:tr>
      <w:tr w:rsidR="0058597B" w:rsidRPr="0058597B" w:rsidTr="0058597B">
        <w:trPr>
          <w:trHeight w:val="280"/>
        </w:trPr>
        <w:tc>
          <w:tcPr>
            <w:tcW w:w="1450" w:type="dxa"/>
            <w:vMerge/>
            <w:tcBorders>
              <w:top w:val="single" w:sz="8" w:space="0" w:color="000000"/>
              <w:left w:val="single" w:sz="12" w:space="0" w:color="000000"/>
              <w:bottom w:val="single" w:sz="12" w:space="0" w:color="000000"/>
              <w:right w:val="nil"/>
            </w:tcBorders>
            <w:shd w:val="clear" w:color="auto" w:fill="auto"/>
            <w:vAlign w:val="center"/>
          </w:tcPr>
          <w:p w:rsidR="0058597B" w:rsidRPr="0058597B" w:rsidRDefault="0058597B" w:rsidP="0058597B">
            <w:pPr>
              <w:rPr>
                <w:rFonts w:ascii="Arial" w:hAnsi="Arial"/>
                <w:color w:val="000000"/>
                <w:sz w:val="18"/>
                <w:szCs w:val="18"/>
              </w:rPr>
            </w:pPr>
          </w:p>
        </w:tc>
        <w:tc>
          <w:tcPr>
            <w:tcW w:w="1480" w:type="dxa"/>
            <w:tcBorders>
              <w:top w:val="nil"/>
              <w:left w:val="nil"/>
              <w:bottom w:val="single" w:sz="12" w:space="0" w:color="000000"/>
              <w:right w:val="single" w:sz="12" w:space="0" w:color="000000"/>
            </w:tcBorders>
            <w:shd w:val="clear" w:color="auto" w:fill="FFFFFF"/>
          </w:tcPr>
          <w:p w:rsidR="0058597B" w:rsidRPr="0058597B" w:rsidRDefault="0058597B" w:rsidP="0058597B">
            <w:pPr>
              <w:rPr>
                <w:rFonts w:ascii="Arial" w:hAnsi="Arial"/>
                <w:color w:val="000000"/>
                <w:sz w:val="18"/>
                <w:szCs w:val="18"/>
              </w:rPr>
            </w:pPr>
            <w:r w:rsidRPr="0058597B">
              <w:rPr>
                <w:rFonts w:ascii="Arial" w:hAnsi="Arial"/>
                <w:color w:val="000000"/>
                <w:sz w:val="18"/>
                <w:szCs w:val="18"/>
              </w:rPr>
              <w:t>Osteopathie</w:t>
            </w:r>
          </w:p>
        </w:tc>
        <w:tc>
          <w:tcPr>
            <w:tcW w:w="1408" w:type="dxa"/>
            <w:tcBorders>
              <w:top w:val="nil"/>
              <w:left w:val="nil"/>
              <w:bottom w:val="single" w:sz="12"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11</w:t>
            </w:r>
          </w:p>
        </w:tc>
        <w:tc>
          <w:tcPr>
            <w:tcW w:w="1450" w:type="dxa"/>
            <w:tcBorders>
              <w:top w:val="nil"/>
              <w:left w:val="nil"/>
              <w:bottom w:val="single" w:sz="12"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96,6495</w:t>
            </w:r>
          </w:p>
        </w:tc>
        <w:tc>
          <w:tcPr>
            <w:tcW w:w="1732" w:type="dxa"/>
            <w:tcBorders>
              <w:top w:val="nil"/>
              <w:left w:val="nil"/>
              <w:bottom w:val="single" w:sz="12" w:space="0" w:color="000000"/>
              <w:right w:val="single" w:sz="8"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2,83207</w:t>
            </w:r>
          </w:p>
        </w:tc>
        <w:tc>
          <w:tcPr>
            <w:tcW w:w="1480" w:type="dxa"/>
            <w:tcBorders>
              <w:top w:val="nil"/>
              <w:left w:val="nil"/>
              <w:bottom w:val="single" w:sz="12" w:space="0" w:color="000000"/>
              <w:right w:val="single" w:sz="12" w:space="0" w:color="000000"/>
            </w:tcBorders>
            <w:shd w:val="clear" w:color="auto" w:fill="FFFFFF"/>
            <w:vAlign w:val="bottom"/>
          </w:tcPr>
          <w:p w:rsidR="0058597B" w:rsidRPr="0058597B" w:rsidRDefault="0058597B" w:rsidP="0058597B">
            <w:pPr>
              <w:jc w:val="right"/>
              <w:rPr>
                <w:rFonts w:ascii="Arial" w:hAnsi="Arial"/>
                <w:color w:val="000000"/>
                <w:sz w:val="18"/>
                <w:szCs w:val="18"/>
              </w:rPr>
            </w:pPr>
            <w:r w:rsidRPr="0058597B">
              <w:rPr>
                <w:rFonts w:ascii="Arial" w:hAnsi="Arial"/>
                <w:color w:val="000000"/>
                <w:sz w:val="18"/>
                <w:szCs w:val="18"/>
              </w:rPr>
              <w:t>0,8539</w:t>
            </w:r>
          </w:p>
        </w:tc>
      </w:tr>
    </w:tbl>
    <w:p w:rsidR="003B249E" w:rsidRDefault="003B249E">
      <w:pPr>
        <w:spacing w:line="400" w:lineRule="atLeast"/>
      </w:pPr>
    </w:p>
    <w:p w:rsidR="004F7C85" w:rsidRDefault="004F7C85">
      <w:pPr>
        <w:spacing w:line="400" w:lineRule="atLeast"/>
      </w:pPr>
    </w:p>
    <w:p w:rsidR="00133C04" w:rsidRDefault="00133C04">
      <w:pPr>
        <w:spacing w:line="400" w:lineRule="atLeast"/>
      </w:pPr>
    </w:p>
    <w:p w:rsidR="003B249E" w:rsidRDefault="003B249E">
      <w:pPr>
        <w:spacing w:line="400" w:lineRule="atLeast"/>
      </w:pPr>
    </w:p>
    <w:p w:rsidR="001C15C7" w:rsidRPr="00270067" w:rsidRDefault="001C15C7"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1C15C7" w:rsidRDefault="001C15C7" w:rsidP="00E94904">
      <w:pPr>
        <w:pStyle w:val="Aufzhlungszeichen"/>
        <w:numPr>
          <w:ilvl w:val="0"/>
          <w:numId w:val="0"/>
        </w:numPr>
      </w:pPr>
    </w:p>
    <w:p w:rsidR="001C15C7" w:rsidRDefault="001C15C7" w:rsidP="00E94904">
      <w:pPr>
        <w:pStyle w:val="Aufzhlungszeichen"/>
        <w:numPr>
          <w:ilvl w:val="0"/>
          <w:numId w:val="0"/>
        </w:numPr>
      </w:pPr>
    </w:p>
    <w:p w:rsidR="00D97716" w:rsidRDefault="00D97716" w:rsidP="00E94904">
      <w:pPr>
        <w:pStyle w:val="Aufzhlungszeichen"/>
        <w:numPr>
          <w:ilvl w:val="0"/>
          <w:numId w:val="0"/>
        </w:numPr>
      </w:pPr>
    </w:p>
    <w:tbl>
      <w:tblPr>
        <w:tblW w:w="9186" w:type="dxa"/>
        <w:tblInd w:w="60" w:type="dxa"/>
        <w:tblLayout w:type="fixed"/>
        <w:tblCellMar>
          <w:left w:w="70" w:type="dxa"/>
          <w:right w:w="70" w:type="dxa"/>
        </w:tblCellMar>
        <w:tblLook w:val="0000"/>
      </w:tblPr>
      <w:tblGrid>
        <w:gridCol w:w="917"/>
        <w:gridCol w:w="957"/>
        <w:gridCol w:w="594"/>
        <w:gridCol w:w="1017"/>
        <w:gridCol w:w="594"/>
        <w:gridCol w:w="695"/>
        <w:gridCol w:w="625"/>
        <w:gridCol w:w="866"/>
        <w:gridCol w:w="1258"/>
        <w:gridCol w:w="70"/>
        <w:gridCol w:w="795"/>
        <w:gridCol w:w="798"/>
      </w:tblGrid>
      <w:tr w:rsidR="0058597B" w:rsidRPr="001063B8" w:rsidTr="0058597B">
        <w:trPr>
          <w:trHeight w:val="95"/>
        </w:trPr>
        <w:tc>
          <w:tcPr>
            <w:tcW w:w="917" w:type="dxa"/>
            <w:tcBorders>
              <w:top w:val="nil"/>
              <w:left w:val="nil"/>
              <w:bottom w:val="nil"/>
              <w:right w:val="nil"/>
            </w:tcBorders>
            <w:shd w:val="clear" w:color="auto" w:fill="auto"/>
            <w:noWrap/>
            <w:vAlign w:val="bottom"/>
          </w:tcPr>
          <w:p w:rsidR="0058597B" w:rsidRDefault="0058597B" w:rsidP="00206E4D">
            <w:pPr>
              <w:spacing w:before="2" w:after="2"/>
            </w:pPr>
          </w:p>
        </w:tc>
        <w:tc>
          <w:tcPr>
            <w:tcW w:w="957"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594"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1017"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594"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695"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625"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866"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1328" w:type="dxa"/>
            <w:gridSpan w:val="2"/>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795"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c>
          <w:tcPr>
            <w:tcW w:w="798" w:type="dxa"/>
            <w:tcBorders>
              <w:top w:val="nil"/>
              <w:left w:val="nil"/>
              <w:bottom w:val="nil"/>
              <w:right w:val="nil"/>
            </w:tcBorders>
            <w:shd w:val="clear" w:color="auto" w:fill="auto"/>
            <w:noWrap/>
            <w:vAlign w:val="bottom"/>
          </w:tcPr>
          <w:p w:rsidR="0058597B" w:rsidRPr="001063B8" w:rsidRDefault="0058597B" w:rsidP="00206E4D">
            <w:pPr>
              <w:spacing w:before="2" w:after="2"/>
              <w:rPr>
                <w:rFonts w:ascii="Verdana" w:hAnsi="Verdana"/>
                <w:sz w:val="20"/>
                <w:szCs w:val="20"/>
              </w:rPr>
            </w:pPr>
          </w:p>
        </w:tc>
      </w:tr>
      <w:tr w:rsidR="0058597B" w:rsidRPr="001063B8" w:rsidTr="0058597B">
        <w:trPr>
          <w:trHeight w:val="89"/>
        </w:trPr>
        <w:tc>
          <w:tcPr>
            <w:tcW w:w="9186" w:type="dxa"/>
            <w:gridSpan w:val="12"/>
            <w:tcBorders>
              <w:top w:val="nil"/>
              <w:left w:val="nil"/>
              <w:bottom w:val="single" w:sz="12" w:space="0" w:color="000000"/>
              <w:right w:val="nil"/>
            </w:tcBorders>
            <w:shd w:val="clear" w:color="auto" w:fill="FFFFFF"/>
            <w:vAlign w:val="bottom"/>
          </w:tcPr>
          <w:p w:rsidR="0058597B" w:rsidRPr="001063B8" w:rsidRDefault="0058597B" w:rsidP="00206E4D">
            <w:pPr>
              <w:spacing w:before="2" w:after="2"/>
              <w:jc w:val="center"/>
              <w:rPr>
                <w:rFonts w:ascii="Arial" w:hAnsi="Arial"/>
                <w:b/>
                <w:bCs/>
                <w:color w:val="000000"/>
                <w:sz w:val="18"/>
                <w:szCs w:val="18"/>
              </w:rPr>
            </w:pPr>
            <w:r w:rsidRPr="001063B8">
              <w:rPr>
                <w:rFonts w:ascii="Arial" w:hAnsi="Arial"/>
                <w:b/>
                <w:bCs/>
                <w:color w:val="000000"/>
                <w:sz w:val="18"/>
                <w:szCs w:val="18"/>
              </w:rPr>
              <w:t>Test bei unabhängigen Stichproben</w:t>
            </w:r>
          </w:p>
        </w:tc>
      </w:tr>
      <w:tr w:rsidR="0058597B" w:rsidRPr="001063B8" w:rsidTr="0058597B">
        <w:trPr>
          <w:trHeight w:val="108"/>
        </w:trPr>
        <w:tc>
          <w:tcPr>
            <w:tcW w:w="917" w:type="dxa"/>
            <w:tcBorders>
              <w:top w:val="single" w:sz="12" w:space="0" w:color="000000"/>
              <w:left w:val="single" w:sz="12" w:space="0" w:color="000000"/>
              <w:bottom w:val="nil"/>
              <w:right w:val="nil"/>
            </w:tcBorders>
            <w:shd w:val="clear" w:color="auto" w:fill="FFFFFF"/>
          </w:tcPr>
          <w:p w:rsidR="0058597B" w:rsidRDefault="0058597B" w:rsidP="00206E4D">
            <w:pPr>
              <w:spacing w:before="2" w:after="2"/>
            </w:pPr>
            <w:r>
              <w:t> </w:t>
            </w:r>
          </w:p>
        </w:tc>
        <w:tc>
          <w:tcPr>
            <w:tcW w:w="957" w:type="dxa"/>
            <w:tcBorders>
              <w:top w:val="single" w:sz="12" w:space="0" w:color="000000"/>
              <w:left w:val="nil"/>
              <w:bottom w:val="nil"/>
              <w:right w:val="single" w:sz="12" w:space="0" w:color="000000"/>
            </w:tcBorders>
            <w:shd w:val="clear" w:color="auto" w:fill="FFFFFF"/>
          </w:tcPr>
          <w:p w:rsidR="0058597B" w:rsidRDefault="0058597B" w:rsidP="00206E4D">
            <w:pPr>
              <w:spacing w:before="2" w:after="2"/>
            </w:pPr>
            <w:r>
              <w:t> </w:t>
            </w:r>
          </w:p>
        </w:tc>
        <w:tc>
          <w:tcPr>
            <w:tcW w:w="1611" w:type="dxa"/>
            <w:gridSpan w:val="2"/>
            <w:tcBorders>
              <w:top w:val="single" w:sz="12" w:space="0" w:color="000000"/>
              <w:left w:val="single" w:sz="12" w:space="0" w:color="000000"/>
              <w:bottom w:val="single" w:sz="8"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Levene-Test der Varianzgleichheit</w:t>
            </w:r>
          </w:p>
        </w:tc>
        <w:tc>
          <w:tcPr>
            <w:tcW w:w="5701" w:type="dxa"/>
            <w:gridSpan w:val="8"/>
            <w:tcBorders>
              <w:top w:val="single" w:sz="12" w:space="0" w:color="000000"/>
              <w:left w:val="single" w:sz="8" w:space="0" w:color="000000"/>
              <w:bottom w:val="single" w:sz="8" w:space="0" w:color="000000"/>
              <w:right w:val="single" w:sz="12"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T-Test für die Mittelwertgleichheit</w:t>
            </w:r>
          </w:p>
        </w:tc>
      </w:tr>
      <w:tr w:rsidR="0058597B" w:rsidRPr="001063B8">
        <w:trPr>
          <w:trHeight w:val="140"/>
        </w:trPr>
        <w:tc>
          <w:tcPr>
            <w:tcW w:w="917" w:type="dxa"/>
            <w:tcBorders>
              <w:top w:val="nil"/>
              <w:left w:val="single" w:sz="12" w:space="0" w:color="000000"/>
              <w:bottom w:val="nil"/>
              <w:right w:val="nil"/>
            </w:tcBorders>
            <w:shd w:val="clear" w:color="auto" w:fill="FFFFFF"/>
          </w:tcPr>
          <w:p w:rsidR="0058597B" w:rsidRDefault="0058597B" w:rsidP="00206E4D">
            <w:pPr>
              <w:spacing w:before="2" w:after="2"/>
            </w:pPr>
            <w:r>
              <w:t> </w:t>
            </w:r>
          </w:p>
        </w:tc>
        <w:tc>
          <w:tcPr>
            <w:tcW w:w="957" w:type="dxa"/>
            <w:tcBorders>
              <w:top w:val="nil"/>
              <w:left w:val="nil"/>
              <w:bottom w:val="nil"/>
              <w:right w:val="single" w:sz="12" w:space="0" w:color="000000"/>
            </w:tcBorders>
            <w:shd w:val="clear" w:color="auto" w:fill="FFFFFF"/>
          </w:tcPr>
          <w:p w:rsidR="0058597B" w:rsidRDefault="0058597B" w:rsidP="00206E4D">
            <w:pPr>
              <w:spacing w:before="2" w:after="2"/>
            </w:pPr>
            <w:r>
              <w:t> </w:t>
            </w:r>
          </w:p>
        </w:tc>
        <w:tc>
          <w:tcPr>
            <w:tcW w:w="594" w:type="dxa"/>
            <w:vMerge w:val="restart"/>
            <w:tcBorders>
              <w:top w:val="single" w:sz="8" w:space="0" w:color="000000"/>
              <w:left w:val="single" w:sz="12"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F</w:t>
            </w:r>
          </w:p>
        </w:tc>
        <w:tc>
          <w:tcPr>
            <w:tcW w:w="1017" w:type="dxa"/>
            <w:vMerge w:val="restart"/>
            <w:tcBorders>
              <w:top w:val="single" w:sz="8" w:space="0" w:color="000000"/>
              <w:left w:val="single" w:sz="8"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Signifikanz</w:t>
            </w:r>
          </w:p>
        </w:tc>
        <w:tc>
          <w:tcPr>
            <w:tcW w:w="594" w:type="dxa"/>
            <w:vMerge w:val="restart"/>
            <w:tcBorders>
              <w:top w:val="single" w:sz="8" w:space="0" w:color="000000"/>
              <w:left w:val="single" w:sz="8"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T</w:t>
            </w:r>
          </w:p>
        </w:tc>
        <w:tc>
          <w:tcPr>
            <w:tcW w:w="695" w:type="dxa"/>
            <w:vMerge w:val="restart"/>
            <w:tcBorders>
              <w:top w:val="single" w:sz="8" w:space="0" w:color="000000"/>
              <w:left w:val="single" w:sz="8"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df</w:t>
            </w:r>
          </w:p>
        </w:tc>
        <w:tc>
          <w:tcPr>
            <w:tcW w:w="625" w:type="dxa"/>
            <w:vMerge w:val="restart"/>
            <w:tcBorders>
              <w:top w:val="single" w:sz="8" w:space="0" w:color="000000"/>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Sig. (2-seitig)</w:t>
            </w:r>
          </w:p>
        </w:tc>
        <w:tc>
          <w:tcPr>
            <w:tcW w:w="866" w:type="dxa"/>
            <w:vMerge w:val="restart"/>
            <w:tcBorders>
              <w:top w:val="single" w:sz="8" w:space="0" w:color="000000"/>
              <w:left w:val="single" w:sz="8"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Mittlere Differenz</w:t>
            </w:r>
          </w:p>
        </w:tc>
        <w:tc>
          <w:tcPr>
            <w:tcW w:w="1258" w:type="dxa"/>
            <w:vMerge w:val="restart"/>
            <w:tcBorders>
              <w:top w:val="single" w:sz="8" w:space="0" w:color="000000"/>
              <w:left w:val="single" w:sz="8" w:space="0" w:color="000000"/>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Standardfehler der Differenz</w:t>
            </w:r>
          </w:p>
        </w:tc>
        <w:tc>
          <w:tcPr>
            <w:tcW w:w="1663" w:type="dxa"/>
            <w:gridSpan w:val="3"/>
            <w:tcBorders>
              <w:top w:val="single" w:sz="8" w:space="0" w:color="000000"/>
              <w:left w:val="single" w:sz="8" w:space="0" w:color="000000"/>
              <w:bottom w:val="single" w:sz="8" w:space="0" w:color="000000"/>
              <w:right w:val="single" w:sz="12"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95% Konfidenzintervall der Differenz</w:t>
            </w:r>
          </w:p>
        </w:tc>
      </w:tr>
      <w:tr w:rsidR="0058597B" w:rsidRPr="001063B8" w:rsidTr="0058597B">
        <w:trPr>
          <w:trHeight w:val="89"/>
        </w:trPr>
        <w:tc>
          <w:tcPr>
            <w:tcW w:w="917" w:type="dxa"/>
            <w:tcBorders>
              <w:top w:val="nil"/>
              <w:left w:val="single" w:sz="12" w:space="0" w:color="000000"/>
              <w:bottom w:val="single" w:sz="12" w:space="0" w:color="000000"/>
              <w:right w:val="nil"/>
            </w:tcBorders>
            <w:shd w:val="clear" w:color="auto" w:fill="FFFFFF"/>
          </w:tcPr>
          <w:p w:rsidR="0058597B" w:rsidRDefault="0058597B" w:rsidP="00206E4D">
            <w:pPr>
              <w:spacing w:before="2" w:after="2"/>
            </w:pPr>
            <w:r>
              <w:t> </w:t>
            </w:r>
          </w:p>
        </w:tc>
        <w:tc>
          <w:tcPr>
            <w:tcW w:w="957" w:type="dxa"/>
            <w:tcBorders>
              <w:top w:val="nil"/>
              <w:left w:val="nil"/>
              <w:bottom w:val="single" w:sz="12" w:space="0" w:color="000000"/>
              <w:right w:val="single" w:sz="12" w:space="0" w:color="000000"/>
            </w:tcBorders>
            <w:shd w:val="clear" w:color="auto" w:fill="FFFFFF"/>
          </w:tcPr>
          <w:p w:rsidR="0058597B" w:rsidRDefault="0058597B" w:rsidP="00206E4D">
            <w:pPr>
              <w:spacing w:before="2" w:after="2"/>
            </w:pPr>
            <w:r>
              <w:t> </w:t>
            </w:r>
          </w:p>
        </w:tc>
        <w:tc>
          <w:tcPr>
            <w:tcW w:w="594" w:type="dxa"/>
            <w:vMerge/>
            <w:tcBorders>
              <w:top w:val="single" w:sz="8" w:space="0" w:color="000000"/>
              <w:left w:val="single" w:sz="12"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1017" w:type="dxa"/>
            <w:vMerge/>
            <w:tcBorders>
              <w:top w:val="single" w:sz="8" w:space="0" w:color="000000"/>
              <w:left w:val="single" w:sz="8"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594" w:type="dxa"/>
            <w:vMerge/>
            <w:tcBorders>
              <w:top w:val="single" w:sz="8" w:space="0" w:color="000000"/>
              <w:left w:val="single" w:sz="8"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695" w:type="dxa"/>
            <w:vMerge/>
            <w:tcBorders>
              <w:top w:val="single" w:sz="8" w:space="0" w:color="000000"/>
              <w:left w:val="single" w:sz="8"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625" w:type="dxa"/>
            <w:vMerge/>
            <w:tcBorders>
              <w:top w:val="single" w:sz="8" w:space="0" w:color="000000"/>
              <w:left w:val="nil"/>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866" w:type="dxa"/>
            <w:vMerge/>
            <w:tcBorders>
              <w:top w:val="single" w:sz="8" w:space="0" w:color="000000"/>
              <w:left w:val="single" w:sz="8"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1258" w:type="dxa"/>
            <w:vMerge/>
            <w:tcBorders>
              <w:top w:val="single" w:sz="8" w:space="0" w:color="000000"/>
              <w:left w:val="single" w:sz="8" w:space="0" w:color="000000"/>
              <w:bottom w:val="single" w:sz="12" w:space="0" w:color="000000"/>
              <w:right w:val="single" w:sz="8" w:space="0" w:color="000000"/>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865" w:type="dxa"/>
            <w:gridSpan w:val="2"/>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Untere</w:t>
            </w:r>
          </w:p>
        </w:tc>
        <w:tc>
          <w:tcPr>
            <w:tcW w:w="798" w:type="dxa"/>
            <w:tcBorders>
              <w:top w:val="nil"/>
              <w:left w:val="nil"/>
              <w:bottom w:val="single" w:sz="12" w:space="0" w:color="000000"/>
              <w:right w:val="single" w:sz="12" w:space="0" w:color="000000"/>
            </w:tcBorders>
            <w:shd w:val="clear" w:color="auto" w:fill="FFFFFF"/>
            <w:vAlign w:val="bottom"/>
          </w:tcPr>
          <w:p w:rsidR="0058597B" w:rsidRPr="001063B8" w:rsidRDefault="0058597B" w:rsidP="00206E4D">
            <w:pPr>
              <w:spacing w:before="2" w:after="2"/>
              <w:jc w:val="center"/>
              <w:rPr>
                <w:rFonts w:ascii="Arial" w:hAnsi="Arial"/>
                <w:color w:val="000000"/>
                <w:sz w:val="18"/>
                <w:szCs w:val="18"/>
              </w:rPr>
            </w:pPr>
            <w:r w:rsidRPr="001063B8">
              <w:rPr>
                <w:rFonts w:ascii="Arial" w:hAnsi="Arial"/>
                <w:color w:val="000000"/>
                <w:sz w:val="18"/>
                <w:szCs w:val="18"/>
              </w:rPr>
              <w:t>Obere</w:t>
            </w:r>
          </w:p>
        </w:tc>
      </w:tr>
      <w:tr w:rsidR="0058597B" w:rsidRPr="001063B8" w:rsidTr="0058597B">
        <w:trPr>
          <w:trHeight w:val="146"/>
        </w:trPr>
        <w:tc>
          <w:tcPr>
            <w:tcW w:w="917" w:type="dxa"/>
            <w:vMerge w:val="restart"/>
            <w:tcBorders>
              <w:top w:val="single" w:sz="12" w:space="0" w:color="000000"/>
              <w:left w:val="single" w:sz="12" w:space="0" w:color="000000"/>
              <w:bottom w:val="single" w:sz="8" w:space="0" w:color="000000"/>
              <w:right w:val="nil"/>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Oberarm</w:t>
            </w:r>
          </w:p>
        </w:tc>
        <w:tc>
          <w:tcPr>
            <w:tcW w:w="957" w:type="dxa"/>
            <w:tcBorders>
              <w:top w:val="nil"/>
              <w:left w:val="nil"/>
              <w:bottom w:val="nil"/>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gleich</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0,062</w:t>
            </w:r>
          </w:p>
        </w:tc>
        <w:tc>
          <w:tcPr>
            <w:tcW w:w="1017"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0,806</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1,79</w:t>
            </w:r>
          </w:p>
        </w:tc>
        <w:tc>
          <w:tcPr>
            <w:tcW w:w="69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20</w:t>
            </w:r>
          </w:p>
        </w:tc>
        <w:tc>
          <w:tcPr>
            <w:tcW w:w="62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0,089</w:t>
            </w:r>
          </w:p>
        </w:tc>
        <w:tc>
          <w:tcPr>
            <w:tcW w:w="866"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2,12506</w:t>
            </w:r>
          </w:p>
        </w:tc>
        <w:tc>
          <w:tcPr>
            <w:tcW w:w="1258"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1,1869</w:t>
            </w:r>
          </w:p>
        </w:tc>
        <w:tc>
          <w:tcPr>
            <w:tcW w:w="865" w:type="dxa"/>
            <w:gridSpan w:val="2"/>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-0,35076</w:t>
            </w:r>
          </w:p>
        </w:tc>
        <w:tc>
          <w:tcPr>
            <w:tcW w:w="798" w:type="dxa"/>
            <w:tcBorders>
              <w:top w:val="nil"/>
              <w:left w:val="nil"/>
              <w:bottom w:val="nil"/>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4,60088</w:t>
            </w:r>
          </w:p>
        </w:tc>
      </w:tr>
      <w:tr w:rsidR="0058597B" w:rsidRPr="001063B8" w:rsidTr="0058597B">
        <w:trPr>
          <w:trHeight w:val="146"/>
        </w:trPr>
        <w:tc>
          <w:tcPr>
            <w:tcW w:w="917" w:type="dxa"/>
            <w:vMerge/>
            <w:tcBorders>
              <w:top w:val="single" w:sz="12" w:space="0" w:color="000000"/>
              <w:left w:val="single" w:sz="12" w:space="0" w:color="000000"/>
              <w:bottom w:val="single" w:sz="8" w:space="0" w:color="000000"/>
              <w:right w:val="nil"/>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957" w:type="dxa"/>
            <w:tcBorders>
              <w:top w:val="nil"/>
              <w:left w:val="nil"/>
              <w:bottom w:val="single" w:sz="8" w:space="0" w:color="000000"/>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nicht gleich</w:t>
            </w:r>
          </w:p>
        </w:tc>
        <w:tc>
          <w:tcPr>
            <w:tcW w:w="594" w:type="dxa"/>
            <w:tcBorders>
              <w:top w:val="nil"/>
              <w:left w:val="nil"/>
              <w:bottom w:val="single" w:sz="8" w:space="0" w:color="000000"/>
              <w:right w:val="single" w:sz="8" w:space="0" w:color="000000"/>
            </w:tcBorders>
            <w:shd w:val="clear" w:color="auto" w:fill="FFFFFF"/>
          </w:tcPr>
          <w:p w:rsidR="0058597B" w:rsidRDefault="0058597B" w:rsidP="00206E4D">
            <w:pPr>
              <w:spacing w:before="2" w:after="2"/>
            </w:pPr>
            <w:r>
              <w:t> </w:t>
            </w:r>
          </w:p>
        </w:tc>
        <w:tc>
          <w:tcPr>
            <w:tcW w:w="1017" w:type="dxa"/>
            <w:tcBorders>
              <w:top w:val="nil"/>
              <w:left w:val="nil"/>
              <w:bottom w:val="single" w:sz="8" w:space="0" w:color="000000"/>
              <w:right w:val="single" w:sz="8" w:space="0" w:color="000000"/>
            </w:tcBorders>
            <w:shd w:val="clear" w:color="auto" w:fill="FFFFFF"/>
          </w:tcPr>
          <w:p w:rsidR="0058597B" w:rsidRDefault="0058597B" w:rsidP="00206E4D">
            <w:pPr>
              <w:spacing w:before="2" w:after="2"/>
            </w:pPr>
            <w:r>
              <w:t> </w:t>
            </w:r>
          </w:p>
        </w:tc>
        <w:tc>
          <w:tcPr>
            <w:tcW w:w="594"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1,79</w:t>
            </w:r>
          </w:p>
        </w:tc>
        <w:tc>
          <w:tcPr>
            <w:tcW w:w="695"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19,937</w:t>
            </w:r>
          </w:p>
        </w:tc>
        <w:tc>
          <w:tcPr>
            <w:tcW w:w="625"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0,089</w:t>
            </w:r>
          </w:p>
        </w:tc>
        <w:tc>
          <w:tcPr>
            <w:tcW w:w="866"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2,12506</w:t>
            </w:r>
          </w:p>
        </w:tc>
        <w:tc>
          <w:tcPr>
            <w:tcW w:w="1258"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1,1869</w:t>
            </w:r>
          </w:p>
        </w:tc>
        <w:tc>
          <w:tcPr>
            <w:tcW w:w="865" w:type="dxa"/>
            <w:gridSpan w:val="2"/>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-0,35127</w:t>
            </w:r>
          </w:p>
        </w:tc>
        <w:tc>
          <w:tcPr>
            <w:tcW w:w="798" w:type="dxa"/>
            <w:tcBorders>
              <w:top w:val="nil"/>
              <w:left w:val="nil"/>
              <w:bottom w:val="single" w:sz="8" w:space="0" w:color="000000"/>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4,60139</w:t>
            </w:r>
          </w:p>
        </w:tc>
      </w:tr>
      <w:tr w:rsidR="0058597B" w:rsidRPr="001063B8" w:rsidTr="0058597B">
        <w:trPr>
          <w:trHeight w:val="140"/>
        </w:trPr>
        <w:tc>
          <w:tcPr>
            <w:tcW w:w="917" w:type="dxa"/>
            <w:vMerge w:val="restart"/>
            <w:tcBorders>
              <w:top w:val="single" w:sz="8" w:space="0" w:color="000000"/>
              <w:left w:val="single" w:sz="12" w:space="0" w:color="000000"/>
              <w:bottom w:val="single" w:sz="8" w:space="0" w:color="000000"/>
              <w:right w:val="nil"/>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Unterarm</w:t>
            </w:r>
          </w:p>
        </w:tc>
        <w:tc>
          <w:tcPr>
            <w:tcW w:w="957" w:type="dxa"/>
            <w:tcBorders>
              <w:top w:val="nil"/>
              <w:left w:val="nil"/>
              <w:bottom w:val="nil"/>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gleich</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0,449</w:t>
            </w:r>
          </w:p>
        </w:tc>
        <w:tc>
          <w:tcPr>
            <w:tcW w:w="1017"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0,51</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0,331</w:t>
            </w:r>
          </w:p>
        </w:tc>
        <w:tc>
          <w:tcPr>
            <w:tcW w:w="69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20</w:t>
            </w:r>
          </w:p>
        </w:tc>
        <w:tc>
          <w:tcPr>
            <w:tcW w:w="62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0,744</w:t>
            </w:r>
          </w:p>
        </w:tc>
        <w:tc>
          <w:tcPr>
            <w:tcW w:w="866"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0,58532</w:t>
            </w:r>
          </w:p>
        </w:tc>
        <w:tc>
          <w:tcPr>
            <w:tcW w:w="1258"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1,76985</w:t>
            </w:r>
          </w:p>
        </w:tc>
        <w:tc>
          <w:tcPr>
            <w:tcW w:w="865" w:type="dxa"/>
            <w:gridSpan w:val="2"/>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-3,10653</w:t>
            </w:r>
          </w:p>
        </w:tc>
        <w:tc>
          <w:tcPr>
            <w:tcW w:w="798" w:type="dxa"/>
            <w:tcBorders>
              <w:top w:val="nil"/>
              <w:left w:val="nil"/>
              <w:bottom w:val="nil"/>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4,27717</w:t>
            </w:r>
          </w:p>
        </w:tc>
      </w:tr>
      <w:tr w:rsidR="0058597B" w:rsidRPr="001063B8" w:rsidTr="0058597B">
        <w:trPr>
          <w:trHeight w:val="146"/>
        </w:trPr>
        <w:tc>
          <w:tcPr>
            <w:tcW w:w="917" w:type="dxa"/>
            <w:vMerge/>
            <w:tcBorders>
              <w:top w:val="single" w:sz="8" w:space="0" w:color="000000"/>
              <w:left w:val="single" w:sz="12" w:space="0" w:color="000000"/>
              <w:bottom w:val="single" w:sz="8" w:space="0" w:color="000000"/>
              <w:right w:val="nil"/>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957" w:type="dxa"/>
            <w:tcBorders>
              <w:top w:val="nil"/>
              <w:left w:val="nil"/>
              <w:bottom w:val="single" w:sz="8" w:space="0" w:color="000000"/>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nicht gleich</w:t>
            </w:r>
          </w:p>
        </w:tc>
        <w:tc>
          <w:tcPr>
            <w:tcW w:w="594" w:type="dxa"/>
            <w:tcBorders>
              <w:top w:val="nil"/>
              <w:left w:val="nil"/>
              <w:bottom w:val="single" w:sz="8" w:space="0" w:color="000000"/>
              <w:right w:val="single" w:sz="8" w:space="0" w:color="000000"/>
            </w:tcBorders>
            <w:shd w:val="clear" w:color="auto" w:fill="FFFFFF"/>
          </w:tcPr>
          <w:p w:rsidR="0058597B" w:rsidRDefault="0058597B" w:rsidP="00206E4D">
            <w:pPr>
              <w:spacing w:before="2" w:after="2"/>
            </w:pPr>
            <w:r>
              <w:t> </w:t>
            </w:r>
          </w:p>
        </w:tc>
        <w:tc>
          <w:tcPr>
            <w:tcW w:w="1017" w:type="dxa"/>
            <w:tcBorders>
              <w:top w:val="nil"/>
              <w:left w:val="nil"/>
              <w:bottom w:val="single" w:sz="8" w:space="0" w:color="000000"/>
              <w:right w:val="single" w:sz="8" w:space="0" w:color="000000"/>
            </w:tcBorders>
            <w:shd w:val="clear" w:color="auto" w:fill="FFFFFF"/>
          </w:tcPr>
          <w:p w:rsidR="0058597B" w:rsidRDefault="0058597B" w:rsidP="00206E4D">
            <w:pPr>
              <w:spacing w:before="2" w:after="2"/>
            </w:pPr>
            <w:r>
              <w:t> </w:t>
            </w:r>
          </w:p>
        </w:tc>
        <w:tc>
          <w:tcPr>
            <w:tcW w:w="594"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0,331</w:t>
            </w:r>
          </w:p>
        </w:tc>
        <w:tc>
          <w:tcPr>
            <w:tcW w:w="695"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16,398</w:t>
            </w:r>
          </w:p>
        </w:tc>
        <w:tc>
          <w:tcPr>
            <w:tcW w:w="625"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0,745</w:t>
            </w:r>
          </w:p>
        </w:tc>
        <w:tc>
          <w:tcPr>
            <w:tcW w:w="866"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0,58532</w:t>
            </w:r>
          </w:p>
        </w:tc>
        <w:tc>
          <w:tcPr>
            <w:tcW w:w="1258" w:type="dxa"/>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1,76985</w:t>
            </w:r>
          </w:p>
        </w:tc>
        <w:tc>
          <w:tcPr>
            <w:tcW w:w="865" w:type="dxa"/>
            <w:gridSpan w:val="2"/>
            <w:tcBorders>
              <w:top w:val="nil"/>
              <w:left w:val="nil"/>
              <w:bottom w:val="single" w:sz="8"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-3,15922</w:t>
            </w:r>
          </w:p>
        </w:tc>
        <w:tc>
          <w:tcPr>
            <w:tcW w:w="798" w:type="dxa"/>
            <w:tcBorders>
              <w:top w:val="nil"/>
              <w:left w:val="nil"/>
              <w:bottom w:val="single" w:sz="8" w:space="0" w:color="000000"/>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4,32985</w:t>
            </w:r>
          </w:p>
        </w:tc>
      </w:tr>
      <w:tr w:rsidR="0058597B" w:rsidRPr="001063B8" w:rsidTr="0058597B">
        <w:trPr>
          <w:trHeight w:val="140"/>
        </w:trPr>
        <w:tc>
          <w:tcPr>
            <w:tcW w:w="917" w:type="dxa"/>
            <w:vMerge w:val="restart"/>
            <w:tcBorders>
              <w:top w:val="single" w:sz="8" w:space="0" w:color="000000"/>
              <w:left w:val="single" w:sz="12" w:space="0" w:color="000000"/>
              <w:bottom w:val="single" w:sz="12" w:space="0" w:color="000000"/>
              <w:right w:val="nil"/>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Mittelwert</w:t>
            </w:r>
          </w:p>
        </w:tc>
        <w:tc>
          <w:tcPr>
            <w:tcW w:w="957" w:type="dxa"/>
            <w:tcBorders>
              <w:top w:val="nil"/>
              <w:left w:val="nil"/>
              <w:bottom w:val="nil"/>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gleich</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0,301</w:t>
            </w:r>
          </w:p>
        </w:tc>
        <w:tc>
          <w:tcPr>
            <w:tcW w:w="1017"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0,59</w:t>
            </w:r>
          </w:p>
        </w:tc>
        <w:tc>
          <w:tcPr>
            <w:tcW w:w="594"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0,978</w:t>
            </w:r>
          </w:p>
        </w:tc>
        <w:tc>
          <w:tcPr>
            <w:tcW w:w="69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20</w:t>
            </w:r>
          </w:p>
        </w:tc>
        <w:tc>
          <w:tcPr>
            <w:tcW w:w="625"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0,34</w:t>
            </w:r>
          </w:p>
        </w:tc>
        <w:tc>
          <w:tcPr>
            <w:tcW w:w="866"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1,35519</w:t>
            </w:r>
          </w:p>
        </w:tc>
        <w:tc>
          <w:tcPr>
            <w:tcW w:w="1258" w:type="dxa"/>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1,38635</w:t>
            </w:r>
          </w:p>
        </w:tc>
        <w:tc>
          <w:tcPr>
            <w:tcW w:w="865" w:type="dxa"/>
            <w:gridSpan w:val="2"/>
            <w:tcBorders>
              <w:top w:val="nil"/>
              <w:left w:val="nil"/>
              <w:bottom w:val="nil"/>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-1,53669</w:t>
            </w:r>
          </w:p>
        </w:tc>
        <w:tc>
          <w:tcPr>
            <w:tcW w:w="798" w:type="dxa"/>
            <w:tcBorders>
              <w:top w:val="nil"/>
              <w:left w:val="nil"/>
              <w:bottom w:val="nil"/>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4,24706</w:t>
            </w:r>
          </w:p>
        </w:tc>
      </w:tr>
      <w:tr w:rsidR="0058597B" w:rsidRPr="001063B8" w:rsidTr="0058597B">
        <w:trPr>
          <w:trHeight w:val="146"/>
        </w:trPr>
        <w:tc>
          <w:tcPr>
            <w:tcW w:w="917" w:type="dxa"/>
            <w:vMerge/>
            <w:tcBorders>
              <w:top w:val="single" w:sz="8" w:space="0" w:color="000000"/>
              <w:left w:val="single" w:sz="12" w:space="0" w:color="000000"/>
              <w:bottom w:val="single" w:sz="12" w:space="0" w:color="000000"/>
              <w:right w:val="nil"/>
            </w:tcBorders>
            <w:shd w:val="clear" w:color="auto" w:fill="auto"/>
            <w:vAlign w:val="center"/>
          </w:tcPr>
          <w:p w:rsidR="0058597B" w:rsidRPr="001063B8" w:rsidRDefault="0058597B" w:rsidP="00206E4D">
            <w:pPr>
              <w:spacing w:before="2" w:after="2"/>
              <w:rPr>
                <w:rFonts w:ascii="Arial" w:hAnsi="Arial"/>
                <w:color w:val="000000"/>
                <w:sz w:val="18"/>
                <w:szCs w:val="18"/>
              </w:rPr>
            </w:pPr>
          </w:p>
        </w:tc>
        <w:tc>
          <w:tcPr>
            <w:tcW w:w="957" w:type="dxa"/>
            <w:tcBorders>
              <w:top w:val="nil"/>
              <w:left w:val="nil"/>
              <w:bottom w:val="single" w:sz="12" w:space="0" w:color="000000"/>
              <w:right w:val="single" w:sz="12" w:space="0" w:color="000000"/>
            </w:tcBorders>
            <w:shd w:val="clear" w:color="auto" w:fill="FFFFFF"/>
          </w:tcPr>
          <w:p w:rsidR="0058597B" w:rsidRPr="001063B8" w:rsidRDefault="0058597B" w:rsidP="00206E4D">
            <w:pPr>
              <w:spacing w:before="2" w:after="2"/>
              <w:rPr>
                <w:rFonts w:ascii="Arial" w:hAnsi="Arial"/>
                <w:color w:val="000000"/>
                <w:sz w:val="18"/>
                <w:szCs w:val="18"/>
              </w:rPr>
            </w:pPr>
            <w:r w:rsidRPr="001063B8">
              <w:rPr>
                <w:rFonts w:ascii="Arial" w:hAnsi="Arial"/>
                <w:color w:val="000000"/>
                <w:sz w:val="18"/>
                <w:szCs w:val="18"/>
              </w:rPr>
              <w:t>Varianzen sind nicht gleich</w:t>
            </w:r>
          </w:p>
        </w:tc>
        <w:tc>
          <w:tcPr>
            <w:tcW w:w="594" w:type="dxa"/>
            <w:tcBorders>
              <w:top w:val="nil"/>
              <w:left w:val="nil"/>
              <w:bottom w:val="single" w:sz="12" w:space="0" w:color="000000"/>
              <w:right w:val="single" w:sz="8" w:space="0" w:color="000000"/>
            </w:tcBorders>
            <w:shd w:val="clear" w:color="auto" w:fill="FFFFFF"/>
          </w:tcPr>
          <w:p w:rsidR="0058597B" w:rsidRDefault="0058597B" w:rsidP="00206E4D">
            <w:pPr>
              <w:spacing w:before="2" w:after="2"/>
            </w:pPr>
            <w:r>
              <w:t> </w:t>
            </w:r>
          </w:p>
        </w:tc>
        <w:tc>
          <w:tcPr>
            <w:tcW w:w="1017" w:type="dxa"/>
            <w:tcBorders>
              <w:top w:val="nil"/>
              <w:left w:val="nil"/>
              <w:bottom w:val="single" w:sz="12" w:space="0" w:color="000000"/>
              <w:right w:val="single" w:sz="8" w:space="0" w:color="000000"/>
            </w:tcBorders>
            <w:shd w:val="clear" w:color="auto" w:fill="FFFFFF"/>
          </w:tcPr>
          <w:p w:rsidR="0058597B" w:rsidRDefault="0058597B" w:rsidP="00206E4D">
            <w:pPr>
              <w:spacing w:before="2" w:after="2"/>
            </w:pPr>
            <w:r>
              <w:t> </w:t>
            </w:r>
          </w:p>
        </w:tc>
        <w:tc>
          <w:tcPr>
            <w:tcW w:w="594" w:type="dxa"/>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0,978</w:t>
            </w:r>
          </w:p>
        </w:tc>
        <w:tc>
          <w:tcPr>
            <w:tcW w:w="695" w:type="dxa"/>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18,9</w:t>
            </w:r>
          </w:p>
        </w:tc>
        <w:tc>
          <w:tcPr>
            <w:tcW w:w="625" w:type="dxa"/>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0,341</w:t>
            </w:r>
          </w:p>
        </w:tc>
        <w:tc>
          <w:tcPr>
            <w:tcW w:w="866" w:type="dxa"/>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1,35519</w:t>
            </w:r>
          </w:p>
        </w:tc>
        <w:tc>
          <w:tcPr>
            <w:tcW w:w="1258" w:type="dxa"/>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1,38635</w:t>
            </w:r>
          </w:p>
        </w:tc>
        <w:tc>
          <w:tcPr>
            <w:tcW w:w="865" w:type="dxa"/>
            <w:gridSpan w:val="2"/>
            <w:tcBorders>
              <w:top w:val="nil"/>
              <w:left w:val="nil"/>
              <w:bottom w:val="single" w:sz="12" w:space="0" w:color="000000"/>
              <w:right w:val="single" w:sz="8"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-1,54752</w:t>
            </w:r>
          </w:p>
        </w:tc>
        <w:tc>
          <w:tcPr>
            <w:tcW w:w="798" w:type="dxa"/>
            <w:tcBorders>
              <w:top w:val="nil"/>
              <w:left w:val="nil"/>
              <w:bottom w:val="single" w:sz="12" w:space="0" w:color="000000"/>
              <w:right w:val="single" w:sz="12" w:space="0" w:color="000000"/>
            </w:tcBorders>
            <w:shd w:val="clear" w:color="auto" w:fill="FFFFFF"/>
            <w:vAlign w:val="bottom"/>
          </w:tcPr>
          <w:p w:rsidR="0058597B" w:rsidRPr="001063B8" w:rsidRDefault="0058597B" w:rsidP="00206E4D">
            <w:pPr>
              <w:spacing w:before="2" w:after="2"/>
              <w:jc w:val="right"/>
              <w:rPr>
                <w:rFonts w:ascii="Arial" w:hAnsi="Arial"/>
                <w:color w:val="000000"/>
                <w:sz w:val="18"/>
                <w:szCs w:val="18"/>
              </w:rPr>
            </w:pPr>
            <w:r w:rsidRPr="001063B8">
              <w:rPr>
                <w:rFonts w:ascii="Arial" w:hAnsi="Arial"/>
                <w:color w:val="000000"/>
                <w:sz w:val="18"/>
                <w:szCs w:val="18"/>
              </w:rPr>
              <w:t>4,25789</w:t>
            </w:r>
          </w:p>
        </w:tc>
      </w:tr>
    </w:tbl>
    <w:p w:rsidR="00D97716" w:rsidRDefault="00D97716" w:rsidP="00E94904">
      <w:pPr>
        <w:pStyle w:val="Aufzhlungszeichen"/>
        <w:numPr>
          <w:ilvl w:val="0"/>
          <w:numId w:val="0"/>
        </w:numPr>
      </w:pPr>
    </w:p>
    <w:p w:rsidR="0058597B" w:rsidRDefault="0058597B" w:rsidP="00E94904">
      <w:pPr>
        <w:pStyle w:val="Aufzhlungszeichen"/>
        <w:numPr>
          <w:ilvl w:val="0"/>
          <w:numId w:val="0"/>
        </w:numPr>
      </w:pPr>
    </w:p>
    <w:p w:rsidR="0058597B" w:rsidRDefault="0058597B" w:rsidP="00E94904">
      <w:pPr>
        <w:pStyle w:val="Aufzhlungszeichen"/>
        <w:numPr>
          <w:ilvl w:val="0"/>
          <w:numId w:val="0"/>
        </w:numPr>
      </w:pPr>
    </w:p>
    <w:p w:rsidR="00D97716" w:rsidRDefault="00D97716" w:rsidP="00E94904">
      <w:pPr>
        <w:pStyle w:val="Aufzhlungszeichen"/>
        <w:numPr>
          <w:ilvl w:val="0"/>
          <w:numId w:val="0"/>
        </w:numPr>
      </w:pPr>
    </w:p>
    <w:sectPr w:rsidR="00D97716" w:rsidSect="0058597B">
      <w:pgSz w:w="11906" w:h="16838"/>
      <w:pgMar w:top="1276"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DBE262C"/>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56542B"/>
    <w:rsid w:val="00133C04"/>
    <w:rsid w:val="001C15C7"/>
    <w:rsid w:val="0023672F"/>
    <w:rsid w:val="002429BB"/>
    <w:rsid w:val="00270067"/>
    <w:rsid w:val="003A49DF"/>
    <w:rsid w:val="003B249E"/>
    <w:rsid w:val="004F7C85"/>
    <w:rsid w:val="00532DCC"/>
    <w:rsid w:val="0056542B"/>
    <w:rsid w:val="0058597B"/>
    <w:rsid w:val="005A14D5"/>
    <w:rsid w:val="00650E9A"/>
    <w:rsid w:val="00791E95"/>
    <w:rsid w:val="00D97716"/>
    <w:rsid w:val="00D97A0B"/>
    <w:rsid w:val="00DD05E1"/>
    <w:rsid w:val="00E94904"/>
    <w:rsid w:val="00F35EFC"/>
    <w:rsid w:val="00FB73DD"/>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Aufzhlungszeichen">
    <w:name w:val="List Bullet"/>
    <w:basedOn w:val="Standard"/>
    <w:rsid w:val="00E94904"/>
    <w:pPr>
      <w:numPr>
        <w:numId w:val="1"/>
      </w:numPr>
    </w:pPr>
  </w:style>
</w:styles>
</file>

<file path=word/webSettings.xml><?xml version="1.0" encoding="utf-8"?>
<w:webSettings xmlns:r="http://schemas.openxmlformats.org/officeDocument/2006/relationships" xmlns:w="http://schemas.openxmlformats.org/wordprocessingml/2006/main">
  <w:divs>
    <w:div w:id="7465356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649</Words>
  <Characters>3700</Characters>
  <Application>Microsoft Macintosh Word</Application>
  <DocSecurity>0</DocSecurity>
  <Lines>30</Lines>
  <Paragraphs>7</Paragraphs>
  <ScaleCrop>false</ScaleCrop>
  <HeadingPairs>
    <vt:vector size="2" baseType="variant">
      <vt:variant>
        <vt:lpstr>Titel</vt:lpstr>
      </vt:variant>
      <vt:variant>
        <vt:i4>1</vt:i4>
      </vt:variant>
    </vt:vector>
  </HeadingPairs>
  <TitlesOfParts>
    <vt:vector size="1" baseType="lpstr">
      <vt:lpstr>Ergebnisse</vt:lpstr>
    </vt:vector>
  </TitlesOfParts>
  <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Ergebnisse</dc:title>
  <dc:subject/>
  <dc:creator>Windows User</dc:creator>
  <cp:keywords/>
  <dc:description/>
  <cp:lastModifiedBy>Mark Heinrichs</cp:lastModifiedBy>
  <cp:revision>2</cp:revision>
  <dcterms:created xsi:type="dcterms:W3CDTF">2010-02-07T18:08:00Z</dcterms:created>
  <dcterms:modified xsi:type="dcterms:W3CDTF">2010-02-07T18:08:00Z</dcterms:modified>
</cp:coreProperties>
</file>